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Authentication, Users, Agents, and Wallets</w:t>
      </w:r>
    </w:p>
    <w:p>
      <w:r>
        <w:rPr>
          <w:rFonts w:ascii="Calibri" w:hAnsi="Calibri" w:eastAsia="Calibri"/>
          <w:b w:val="0"/>
          <w:i w:val="0"/>
          <w:color w:val="2E74B5"/>
          <w:sz w:val="26"/>
        </w:rPr>
        <w:t>Staff access, role control, agent onboarding, mappings, and balances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Provides identity, session, role-based access, agent account management, rate-plan assignment, and agent wallet operations across the application.</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Authentication, Users, Agents, and Wallets." title="Local RainWood UI screenshot: Authentication, Users, Agents, and Wallets."/>
            <wp:cNvGraphicFramePr>
              <a:graphicFrameLocks noChangeAspect="1"/>
            </wp:cNvGraphicFramePr>
            <a:graphic>
              <a:graphicData uri="http://schemas.openxmlformats.org/drawingml/2006/picture">
                <pic:pic>
                  <pic:nvPicPr>
                    <pic:cNvPr id="0" name="authentication-users-agents-and-wallet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Authentication, Users, Agents, and Wallets.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these screens to control who can access the system and what partner accounts can do.</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User details</w:t>
            </w:r>
          </w:p>
        </w:tc>
        <w:tc>
          <w:tcPr>
            <w:tcW w:type="dxa" w:w="3900"/>
          </w:tcPr>
          <w:p>
            <w:r>
              <w:rPr>
                <w:rFonts w:ascii="Calibri" w:hAnsi="Calibri" w:eastAsia="Calibri"/>
                <w:b w:val="0"/>
                <w:i w:val="0"/>
                <w:color w:val="0D3856"/>
                <w:sz w:val="19"/>
              </w:rPr>
              <w:t>Name, email, role, active status</w:t>
            </w:r>
          </w:p>
        </w:tc>
        <w:tc>
          <w:tcPr>
            <w:tcW w:type="dxa" w:w="3460"/>
          </w:tcPr>
          <w:p>
            <w:r>
              <w:rPr>
                <w:rFonts w:ascii="Calibri" w:hAnsi="Calibri" w:eastAsia="Calibri"/>
                <w:b w:val="0"/>
                <w:i w:val="0"/>
                <w:color w:val="0D3856"/>
                <w:sz w:val="19"/>
              </w:rPr>
              <w:t>Create the right login and limit access.</w:t>
            </w:r>
          </w:p>
        </w:tc>
      </w:tr>
      <w:tr>
        <w:tc>
          <w:tcPr>
            <w:tcW w:type="dxa" w:w="2100"/>
            <w:shd w:fill="F7FAFC"/>
          </w:tcPr>
          <w:p>
            <w:r>
              <w:rPr>
                <w:rFonts w:ascii="Calibri" w:hAnsi="Calibri" w:eastAsia="Calibri"/>
                <w:b/>
                <w:i w:val="0"/>
                <w:color w:val="0D3856"/>
                <w:sz w:val="19"/>
              </w:rPr>
              <w:t>Role</w:t>
            </w:r>
          </w:p>
        </w:tc>
        <w:tc>
          <w:tcPr>
            <w:tcW w:type="dxa" w:w="3900"/>
          </w:tcPr>
          <w:p>
            <w:r>
              <w:rPr>
                <w:rFonts w:ascii="Calibri" w:hAnsi="Calibri" w:eastAsia="Calibri"/>
                <w:b w:val="0"/>
                <w:i w:val="0"/>
                <w:color w:val="0D3856"/>
                <w:sz w:val="19"/>
              </w:rPr>
              <w:t>Administrator, staff, agent, or other role</w:t>
            </w:r>
          </w:p>
        </w:tc>
        <w:tc>
          <w:tcPr>
            <w:tcW w:type="dxa" w:w="3460"/>
          </w:tcPr>
          <w:p>
            <w:r>
              <w:rPr>
                <w:rFonts w:ascii="Calibri" w:hAnsi="Calibri" w:eastAsia="Calibri"/>
                <w:b w:val="0"/>
                <w:i w:val="0"/>
                <w:color w:val="0D3856"/>
                <w:sz w:val="19"/>
              </w:rPr>
              <w:t>Apply the correct permission set.</w:t>
            </w:r>
          </w:p>
        </w:tc>
      </w:tr>
      <w:tr>
        <w:tc>
          <w:tcPr>
            <w:tcW w:type="dxa" w:w="2100"/>
            <w:shd w:fill="F7FAFC"/>
          </w:tcPr>
          <w:p>
            <w:r>
              <w:rPr>
                <w:rFonts w:ascii="Calibri" w:hAnsi="Calibri" w:eastAsia="Calibri"/>
                <w:b/>
                <w:i w:val="0"/>
                <w:color w:val="0D3856"/>
                <w:sz w:val="19"/>
              </w:rPr>
              <w:t>Agent profile</w:t>
            </w:r>
          </w:p>
        </w:tc>
        <w:tc>
          <w:tcPr>
            <w:tcW w:type="dxa" w:w="3900"/>
          </w:tcPr>
          <w:p>
            <w:r>
              <w:rPr>
                <w:rFonts w:ascii="Calibri" w:hAnsi="Calibri" w:eastAsia="Calibri"/>
                <w:b w:val="0"/>
                <w:i w:val="0"/>
                <w:color w:val="0D3856"/>
                <w:sz w:val="19"/>
              </w:rPr>
              <w:t>Agency, contact, address, approval status</w:t>
            </w:r>
          </w:p>
        </w:tc>
        <w:tc>
          <w:tcPr>
            <w:tcW w:type="dxa" w:w="3460"/>
          </w:tcPr>
          <w:p>
            <w:r>
              <w:rPr>
                <w:rFonts w:ascii="Calibri" w:hAnsi="Calibri" w:eastAsia="Calibri"/>
                <w:b w:val="0"/>
                <w:i w:val="0"/>
                <w:color w:val="0D3856"/>
                <w:sz w:val="19"/>
              </w:rPr>
              <w:t>Maintain the partner identity used for bookings.</w:t>
            </w:r>
          </w:p>
        </w:tc>
      </w:tr>
      <w:tr>
        <w:tc>
          <w:tcPr>
            <w:tcW w:type="dxa" w:w="2100"/>
            <w:shd w:fill="F7FAFC"/>
          </w:tcPr>
          <w:p>
            <w:r>
              <w:rPr>
                <w:rFonts w:ascii="Calibri" w:hAnsi="Calibri" w:eastAsia="Calibri"/>
                <w:b/>
                <w:i w:val="0"/>
                <w:color w:val="0D3856"/>
                <w:sz w:val="19"/>
              </w:rPr>
              <w:t>Wallet</w:t>
            </w:r>
          </w:p>
        </w:tc>
        <w:tc>
          <w:tcPr>
            <w:tcW w:type="dxa" w:w="3900"/>
          </w:tcPr>
          <w:p>
            <w:r>
              <w:rPr>
                <w:rFonts w:ascii="Calibri" w:hAnsi="Calibri" w:eastAsia="Calibri"/>
                <w:b w:val="0"/>
                <w:i w:val="0"/>
                <w:color w:val="0D3856"/>
                <w:sz w:val="19"/>
              </w:rPr>
              <w:t>Credit, debit, balance, transaction reference</w:t>
            </w:r>
          </w:p>
        </w:tc>
        <w:tc>
          <w:tcPr>
            <w:tcW w:type="dxa" w:w="3460"/>
          </w:tcPr>
          <w:p>
            <w:r>
              <w:rPr>
                <w:rFonts w:ascii="Calibri" w:hAnsi="Calibri" w:eastAsia="Calibri"/>
                <w:b w:val="0"/>
                <w:i w:val="0"/>
                <w:color w:val="0D3856"/>
                <w:sz w:val="19"/>
              </w:rPr>
              <w:t>Track agent funds and booking-related adjustments.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Staff login</w:t>
            </w:r>
          </w:p>
        </w:tc>
        <w:tc>
          <w:tcPr>
            <w:tcW w:type="dxa" w:w="6860"/>
          </w:tcPr>
          <w:p>
            <w:r>
              <w:rPr>
                <w:rFonts w:ascii="Calibri" w:hAnsi="Calibri" w:eastAsia="Calibri"/>
                <w:b w:val="0"/>
                <w:i w:val="0"/>
                <w:color w:val="0D3856"/>
                <w:sz w:val="19"/>
              </w:rPr>
              <w:t>Sign in, refresh a session, and sign out.</w:t>
            </w:r>
          </w:p>
        </w:tc>
      </w:tr>
      <w:tr>
        <w:tc>
          <w:tcPr>
            <w:tcW w:type="dxa" w:w="2500"/>
            <w:shd w:fill="F7FAFC"/>
          </w:tcPr>
          <w:p>
            <w:r>
              <w:rPr>
                <w:rFonts w:ascii="Calibri" w:hAnsi="Calibri" w:eastAsia="Calibri"/>
                <w:b/>
                <w:i w:val="0"/>
                <w:color w:val="0D3856"/>
                <w:sz w:val="19"/>
              </w:rPr>
              <w:t>Users and Agents</w:t>
            </w:r>
          </w:p>
        </w:tc>
        <w:tc>
          <w:tcPr>
            <w:tcW w:type="dxa" w:w="6860"/>
          </w:tcPr>
          <w:p>
            <w:r>
              <w:rPr>
                <w:rFonts w:ascii="Calibri" w:hAnsi="Calibri" w:eastAsia="Calibri"/>
                <w:b w:val="0"/>
                <w:i w:val="0"/>
                <w:color w:val="0D3856"/>
                <w:sz w:val="19"/>
              </w:rPr>
              <w:t>Create, edit, activate, deactivate, and revoke sessions.</w:t>
            </w:r>
          </w:p>
        </w:tc>
      </w:tr>
      <w:tr>
        <w:tc>
          <w:tcPr>
            <w:tcW w:type="dxa" w:w="2500"/>
            <w:shd w:fill="F7FAFC"/>
          </w:tcPr>
          <w:p>
            <w:r>
              <w:rPr>
                <w:rFonts w:ascii="Calibri" w:hAnsi="Calibri" w:eastAsia="Calibri"/>
                <w:b/>
                <w:i w:val="0"/>
                <w:color w:val="0D3856"/>
                <w:sz w:val="19"/>
              </w:rPr>
              <w:t>Agent mappings</w:t>
            </w:r>
          </w:p>
        </w:tc>
        <w:tc>
          <w:tcPr>
            <w:tcW w:type="dxa" w:w="6860"/>
          </w:tcPr>
          <w:p>
            <w:r>
              <w:rPr>
                <w:rFonts w:ascii="Calibri" w:hAnsi="Calibri" w:eastAsia="Calibri"/>
                <w:b w:val="0"/>
                <w:i w:val="0"/>
                <w:color w:val="0D3856"/>
                <w:sz w:val="19"/>
              </w:rPr>
              <w:t>Assign active rate plans to an agent.</w:t>
            </w:r>
          </w:p>
        </w:tc>
      </w:tr>
      <w:tr>
        <w:tc>
          <w:tcPr>
            <w:tcW w:type="dxa" w:w="2500"/>
            <w:shd w:fill="F7FAFC"/>
          </w:tcPr>
          <w:p>
            <w:r>
              <w:rPr>
                <w:rFonts w:ascii="Calibri" w:hAnsi="Calibri" w:eastAsia="Calibri"/>
                <w:b/>
                <w:i w:val="0"/>
                <w:color w:val="0D3856"/>
                <w:sz w:val="19"/>
              </w:rPr>
              <w:t>Agent portal</w:t>
            </w:r>
          </w:p>
        </w:tc>
        <w:tc>
          <w:tcPr>
            <w:tcW w:type="dxa" w:w="6860"/>
          </w:tcPr>
          <w:p>
            <w:r>
              <w:rPr>
                <w:rFonts w:ascii="Calibri" w:hAnsi="Calibri" w:eastAsia="Calibri"/>
                <w:b w:val="0"/>
                <w:i w:val="0"/>
                <w:color w:val="0D3856"/>
                <w:sz w:val="19"/>
              </w:rPr>
              <w:t>Book, view assigned rate plans, and manage wallet activity.</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frontend/src/app/login/page.tsx; agent/login/page.tsx</w:t>
            </w:r>
          </w:p>
        </w:tc>
        <w:tc>
          <w:tcPr>
            <w:tcW w:type="dxa" w:w="3960"/>
          </w:tcPr>
          <w:p>
            <w:r>
              <w:rPr>
                <w:rFonts w:ascii="Calibri" w:hAnsi="Calibri" w:eastAsia="Calibri"/>
                <w:b w:val="0"/>
                <w:i w:val="0"/>
                <w:color w:val="0D3856"/>
                <w:sz w:val="19"/>
              </w:rPr>
              <w:t>Staff and agent login paths.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frontend/src/app/admin/users/page.tsx; agents/page.tsx; agent-mappings/page.tsx</w:t>
            </w:r>
          </w:p>
        </w:tc>
        <w:tc>
          <w:tcPr>
            <w:tcW w:type="dxa" w:w="3960"/>
          </w:tcPr>
          <w:p>
            <w:r>
              <w:rPr>
                <w:rFonts w:ascii="Calibri" w:hAnsi="Calibri" w:eastAsia="Calibri"/>
                <w:b w:val="0"/>
                <w:i w:val="0"/>
                <w:color w:val="0D3856"/>
                <w:sz w:val="19"/>
              </w:rPr>
              <w:t>Admin identity and access management.</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auth/auth.controller.ts; users/users.controller.ts; wallet/wallet.controller.ts</w:t>
            </w:r>
          </w:p>
        </w:tc>
        <w:tc>
          <w:tcPr>
            <w:tcW w:type="dxa" w:w="3960"/>
          </w:tcPr>
          <w:p>
            <w:r>
              <w:rPr>
                <w:rFonts w:ascii="Calibri" w:hAnsi="Calibri" w:eastAsia="Calibri"/>
                <w:b w:val="0"/>
                <w:i w:val="0"/>
                <w:color w:val="0D3856"/>
                <w:sz w:val="19"/>
              </w:rPr>
              <w:t>Authentication, role, mapping, and wallet APIs.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User, RefreshToken, AgentRatePlan, AgentWallet, WalletTransaction</w:t>
            </w:r>
          </w:p>
        </w:tc>
        <w:tc>
          <w:tcPr>
            <w:tcW w:type="dxa" w:w="3960"/>
          </w:tcPr>
          <w:p>
            <w:r>
              <w:rPr>
                <w:rFonts w:ascii="Calibri" w:hAnsi="Calibri" w:eastAsia="Calibri"/>
                <w:b w:val="0"/>
                <w:i w:val="0"/>
                <w:color w:val="0D3856"/>
                <w:sz w:val="19"/>
              </w:rPr>
              <w:t>Identity, session, access, and financial balance records.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/auth/login; /auth/refresh; /auth/logout</w:t>
            </w:r>
          </w:p>
        </w:tc>
        <w:tc>
          <w:tcPr>
            <w:tcW w:type="dxa" w:w="5360"/>
          </w:tcPr>
          <w:p>
            <w:r>
              <w:rPr>
                <w:rFonts w:ascii="Calibri" w:hAnsi="Calibri" w:eastAsia="Calibri"/>
                <w:b w:val="0"/>
                <w:i w:val="0"/>
                <w:color w:val="0D3856"/>
                <w:sz w:val="19"/>
              </w:rPr>
              <w:t>Session lifecycle.</w:t>
            </w:r>
          </w:p>
        </w:tc>
      </w:tr>
      <w:tr>
        <w:tc>
          <w:tcPr>
            <w:tcW w:type="dxa" w:w="1000"/>
            <w:shd w:fill="F7FAFC"/>
          </w:tcPr>
          <w:p>
            <w:r>
              <w:rPr>
                <w:rFonts w:ascii="Calibri" w:hAnsi="Calibri" w:eastAsia="Calibri"/>
                <w:b/>
                <w:i w:val="0"/>
                <w:color w:val="0D3856"/>
                <w:sz w:val="19"/>
              </w:rPr>
              <w:t>GET/POST/PATCH</w:t>
            </w:r>
          </w:p>
        </w:tc>
        <w:tc>
          <w:tcPr>
            <w:tcW w:type="dxa" w:w="3000"/>
          </w:tcPr>
          <w:p>
            <w:r>
              <w:rPr>
                <w:rFonts w:ascii="Calibri" w:hAnsi="Calibri" w:eastAsia="Calibri"/>
                <w:b w:val="0"/>
                <w:i w:val="0"/>
                <w:color w:val="0D3856"/>
                <w:sz w:val="19"/>
              </w:rPr>
              <w:t>/users and /users/:id</w:t>
            </w:r>
          </w:p>
        </w:tc>
        <w:tc>
          <w:tcPr>
            <w:tcW w:type="dxa" w:w="5360"/>
          </w:tcPr>
          <w:p>
            <w:r>
              <w:rPr>
                <w:rFonts w:ascii="Calibri" w:hAnsi="Calibri" w:eastAsia="Calibri"/>
                <w:b w:val="0"/>
                <w:i w:val="0"/>
                <w:color w:val="0D3856"/>
                <w:sz w:val="19"/>
              </w:rPr>
              <w:t>Staff user administration.</w:t>
            </w:r>
          </w:p>
        </w:tc>
      </w:tr>
      <w:tr>
        <w:tc>
          <w:tcPr>
            <w:tcW w:type="dxa" w:w="1000"/>
            <w:shd w:fill="F7FAFC"/>
          </w:tcPr>
          <w:p>
            <w:r>
              <w:rPr>
                <w:rFonts w:ascii="Calibri" w:hAnsi="Calibri" w:eastAsia="Calibri"/>
                <w:b/>
                <w:i w:val="0"/>
                <w:color w:val="0D3856"/>
                <w:sz w:val="19"/>
              </w:rPr>
              <w:t>GET/POST/PATCH</w:t>
            </w:r>
          </w:p>
        </w:tc>
        <w:tc>
          <w:tcPr>
            <w:tcW w:type="dxa" w:w="3000"/>
          </w:tcPr>
          <w:p>
            <w:r>
              <w:rPr>
                <w:rFonts w:ascii="Calibri" w:hAnsi="Calibri" w:eastAsia="Calibri"/>
                <w:b w:val="0"/>
                <w:i w:val="0"/>
                <w:color w:val="0D3856"/>
                <w:sz w:val="19"/>
              </w:rPr>
              <w:t>/users/agents and /users/agents/:id</w:t>
            </w:r>
          </w:p>
        </w:tc>
        <w:tc>
          <w:tcPr>
            <w:tcW w:type="dxa" w:w="5360"/>
          </w:tcPr>
          <w:p>
            <w:r>
              <w:rPr>
                <w:rFonts w:ascii="Calibri" w:hAnsi="Calibri" w:eastAsia="Calibri"/>
                <w:b w:val="0"/>
                <w:i w:val="0"/>
                <w:color w:val="0D3856"/>
                <w:sz w:val="19"/>
              </w:rPr>
              <w:t>Agent administration.</w:t>
            </w:r>
          </w:p>
        </w:tc>
      </w:tr>
      <w:tr>
        <w:tc>
          <w:tcPr>
            <w:tcW w:type="dxa" w:w="1000"/>
            <w:shd w:fill="F7FAFC"/>
          </w:tcPr>
          <w:p>
            <w:r>
              <w:rPr>
                <w:rFonts w:ascii="Calibri" w:hAnsi="Calibri" w:eastAsia="Calibri"/>
                <w:b/>
                <w:i w:val="0"/>
                <w:color w:val="0D3856"/>
                <w:sz w:val="19"/>
              </w:rPr>
              <w:t>PUT</w:t>
            </w:r>
          </w:p>
        </w:tc>
        <w:tc>
          <w:tcPr>
            <w:tcW w:type="dxa" w:w="3000"/>
          </w:tcPr>
          <w:p>
            <w:r>
              <w:rPr>
                <w:rFonts w:ascii="Calibri" w:hAnsi="Calibri" w:eastAsia="Calibri"/>
                <w:b w:val="0"/>
                <w:i w:val="0"/>
                <w:color w:val="0D3856"/>
                <w:sz w:val="19"/>
              </w:rPr>
              <w:t>/users/agents/:id/rate-plans</w:t>
            </w:r>
          </w:p>
        </w:tc>
        <w:tc>
          <w:tcPr>
            <w:tcW w:type="dxa" w:w="5360"/>
          </w:tcPr>
          <w:p>
            <w:r>
              <w:rPr>
                <w:rFonts w:ascii="Calibri" w:hAnsi="Calibri" w:eastAsia="Calibri"/>
                <w:b w:val="0"/>
                <w:i w:val="0"/>
                <w:color w:val="0D3856"/>
                <w:sz w:val="19"/>
              </w:rPr>
              <w:t>Assign rate plans.</w:t>
            </w:r>
          </w:p>
        </w:tc>
      </w:tr>
      <w:tr>
        <w:tc>
          <w:tcPr>
            <w:tcW w:type="dxa" w:w="1000"/>
            <w:shd w:fill="F7FAFC"/>
          </w:tcPr>
          <w:p>
            <w:r>
              <w:rPr>
                <w:rFonts w:ascii="Calibri" w:hAnsi="Calibri" w:eastAsia="Calibri"/>
                <w:b/>
                <w:i w:val="0"/>
                <w:color w:val="0D3856"/>
                <w:sz w:val="19"/>
              </w:rPr>
              <w:t>GET/POST</w:t>
            </w:r>
          </w:p>
        </w:tc>
        <w:tc>
          <w:tcPr>
            <w:tcW w:type="dxa" w:w="3000"/>
          </w:tcPr>
          <w:p>
            <w:r>
              <w:rPr>
                <w:rFonts w:ascii="Calibri" w:hAnsi="Calibri" w:eastAsia="Calibri"/>
                <w:b w:val="0"/>
                <w:i w:val="0"/>
                <w:color w:val="0D3856"/>
                <w:sz w:val="19"/>
              </w:rPr>
              <w:t>/wallet and /wallet/recharge</w:t>
            </w:r>
          </w:p>
        </w:tc>
        <w:tc>
          <w:tcPr>
            <w:tcW w:type="dxa" w:w="5360"/>
          </w:tcPr>
          <w:p>
            <w:r>
              <w:rPr>
                <w:rFonts w:ascii="Calibri" w:hAnsi="Calibri" w:eastAsia="Calibri"/>
                <w:b w:val="0"/>
                <w:i w:val="0"/>
                <w:color w:val="0D3856"/>
                <w:sz w:val="19"/>
              </w:rPr>
              <w:t>Agent balance and recharge operations.</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User</w:t>
            </w:r>
          </w:p>
        </w:tc>
        <w:tc>
          <w:tcPr>
            <w:tcW w:type="dxa" w:w="3900"/>
          </w:tcPr>
          <w:p>
            <w:r>
              <w:rPr>
                <w:rFonts w:ascii="Calibri" w:hAnsi="Calibri" w:eastAsia="Calibri"/>
                <w:b w:val="0"/>
                <w:i w:val="0"/>
                <w:color w:val="0D3856"/>
                <w:sz w:val="19"/>
              </w:rPr>
              <w:t>email, role, active, tokenVersion, passwordHash</w:t>
            </w:r>
          </w:p>
        </w:tc>
        <w:tc>
          <w:tcPr>
            <w:tcW w:type="dxa" w:w="3660"/>
          </w:tcPr>
          <w:p>
            <w:r>
              <w:rPr>
                <w:rFonts w:ascii="Calibri" w:hAnsi="Calibri" w:eastAsia="Calibri"/>
                <w:b w:val="0"/>
                <w:i w:val="0"/>
                <w:color w:val="0D3856"/>
                <w:sz w:val="19"/>
              </w:rPr>
              <w:t>Authenticated identity and access role.</w:t>
            </w:r>
          </w:p>
        </w:tc>
      </w:tr>
      <w:tr>
        <w:tc>
          <w:tcPr>
            <w:tcW w:type="dxa" w:w="1800"/>
            <w:shd w:fill="F7FAFC"/>
          </w:tcPr>
          <w:p>
            <w:r>
              <w:rPr>
                <w:rFonts w:ascii="Calibri" w:hAnsi="Calibri" w:eastAsia="Calibri"/>
                <w:b/>
                <w:i w:val="0"/>
                <w:color w:val="0D3856"/>
                <w:sz w:val="19"/>
              </w:rPr>
              <w:t>RefreshToken</w:t>
            </w:r>
          </w:p>
        </w:tc>
        <w:tc>
          <w:tcPr>
            <w:tcW w:type="dxa" w:w="3900"/>
          </w:tcPr>
          <w:p>
            <w:r>
              <w:rPr>
                <w:rFonts w:ascii="Calibri" w:hAnsi="Calibri" w:eastAsia="Calibri"/>
                <w:b w:val="0"/>
                <w:i w:val="0"/>
                <w:color w:val="0D3856"/>
                <w:sz w:val="19"/>
              </w:rPr>
              <w:t>hashed token, expiry, revocation</w:t>
            </w:r>
          </w:p>
        </w:tc>
        <w:tc>
          <w:tcPr>
            <w:tcW w:type="dxa" w:w="3660"/>
          </w:tcPr>
          <w:p>
            <w:r>
              <w:rPr>
                <w:rFonts w:ascii="Calibri" w:hAnsi="Calibri" w:eastAsia="Calibri"/>
                <w:b w:val="0"/>
                <w:i w:val="0"/>
                <w:color w:val="0D3856"/>
                <w:sz w:val="19"/>
              </w:rPr>
              <w:t>Rotating session continuity.</w:t>
            </w:r>
          </w:p>
        </w:tc>
      </w:tr>
      <w:tr>
        <w:tc>
          <w:tcPr>
            <w:tcW w:type="dxa" w:w="1800"/>
            <w:shd w:fill="F7FAFC"/>
          </w:tcPr>
          <w:p>
            <w:r>
              <w:rPr>
                <w:rFonts w:ascii="Calibri" w:hAnsi="Calibri" w:eastAsia="Calibri"/>
                <w:b/>
                <w:i w:val="0"/>
                <w:color w:val="0D3856"/>
                <w:sz w:val="19"/>
              </w:rPr>
              <w:t>AgentRatePlan</w:t>
            </w:r>
          </w:p>
        </w:tc>
        <w:tc>
          <w:tcPr>
            <w:tcW w:type="dxa" w:w="3900"/>
          </w:tcPr>
          <w:p>
            <w:r>
              <w:rPr>
                <w:rFonts w:ascii="Calibri" w:hAnsi="Calibri" w:eastAsia="Calibri"/>
                <w:b w:val="0"/>
                <w:i w:val="0"/>
                <w:color w:val="0D3856"/>
                <w:sz w:val="19"/>
              </w:rPr>
              <w:t>agent/user and ratePlan link</w:t>
            </w:r>
          </w:p>
        </w:tc>
        <w:tc>
          <w:tcPr>
            <w:tcW w:type="dxa" w:w="3660"/>
          </w:tcPr>
          <w:p>
            <w:r>
              <w:rPr>
                <w:rFonts w:ascii="Calibri" w:hAnsi="Calibri" w:eastAsia="Calibri"/>
                <w:b w:val="0"/>
                <w:i w:val="0"/>
                <w:color w:val="0D3856"/>
                <w:sz w:val="19"/>
              </w:rPr>
              <w:t>Least-privilege commercial access.</w:t>
            </w:r>
          </w:p>
        </w:tc>
      </w:tr>
      <w:tr>
        <w:tc>
          <w:tcPr>
            <w:tcW w:type="dxa" w:w="1800"/>
            <w:shd w:fill="F7FAFC"/>
          </w:tcPr>
          <w:p>
            <w:r>
              <w:rPr>
                <w:rFonts w:ascii="Calibri" w:hAnsi="Calibri" w:eastAsia="Calibri"/>
                <w:b/>
                <w:i w:val="0"/>
                <w:color w:val="0D3856"/>
                <w:sz w:val="19"/>
              </w:rPr>
              <w:t>AgentWallet</w:t>
            </w:r>
          </w:p>
        </w:tc>
        <w:tc>
          <w:tcPr>
            <w:tcW w:type="dxa" w:w="3900"/>
          </w:tcPr>
          <w:p>
            <w:r>
              <w:rPr>
                <w:rFonts w:ascii="Calibri" w:hAnsi="Calibri" w:eastAsia="Calibri"/>
                <w:b w:val="0"/>
                <w:i w:val="0"/>
                <w:color w:val="0D3856"/>
                <w:sz w:val="19"/>
              </w:rPr>
              <w:t>balance and wallet transactions</w:t>
            </w:r>
          </w:p>
        </w:tc>
        <w:tc>
          <w:tcPr>
            <w:tcW w:type="dxa" w:w="3660"/>
          </w:tcPr>
          <w:p>
            <w:r>
              <w:rPr>
                <w:rFonts w:ascii="Calibri" w:hAnsi="Calibri" w:eastAsia="Calibri"/>
                <w:b w:val="0"/>
                <w:i w:val="0"/>
                <w:color w:val="0D3856"/>
                <w:sz w:val="19"/>
              </w:rPr>
              <w:t>Agent credit and recharge history.</w:t>
            </w:r>
          </w:p>
        </w:tc>
      </w:tr>
    </w:tbl>
    <w:p>
      <w:pPr>
        <w:spacing w:after="0"/>
      </w:pPr>
    </w:p>
    <w:p>
      <w:pPr>
        <w:pStyle w:val="Heading1"/>
      </w:pPr>
      <w:r>
        <w:t>Primary workflow</w:t>
      </w:r>
    </w:p>
    <w:p>
      <w:pPr>
        <w:pStyle w:val="ListNumber"/>
      </w:pPr>
      <w:r>
        <w:rPr>
          <w:rFonts w:ascii="Calibri" w:hAnsi="Calibri" w:eastAsia="Calibri"/>
          <w:b w:val="0"/>
          <w:i w:val="0"/>
          <w:color w:val="0D3856"/>
          <w:sz w:val="21"/>
        </w:rPr>
        <w:t>User submits credentials and receives a short-lived access token plus refresh session.</w:t>
      </w:r>
    </w:p>
    <w:p>
      <w:pPr>
        <w:pStyle w:val="ListNumber"/>
      </w:pPr>
      <w:r>
        <w:rPr>
          <w:rFonts w:ascii="Calibri" w:hAnsi="Calibri" w:eastAsia="Calibri"/>
          <w:b w:val="0"/>
          <w:i w:val="0"/>
          <w:color w:val="0D3856"/>
          <w:sz w:val="21"/>
        </w:rPr>
        <w:t>Frontend stores the access token and sends it to protected APIs.</w:t>
      </w:r>
    </w:p>
    <w:p>
      <w:pPr>
        <w:pStyle w:val="ListNumber"/>
      </w:pPr>
      <w:r>
        <w:rPr>
          <w:rFonts w:ascii="Calibri" w:hAnsi="Calibri" w:eastAsia="Calibri"/>
          <w:b w:val="0"/>
          <w:i w:val="0"/>
          <w:color w:val="0D3856"/>
          <w:sz w:val="21"/>
        </w:rPr>
        <w:t>Admins manage users and agent status; session revocation increments tokenVersion.</w:t>
      </w:r>
    </w:p>
    <w:p>
      <w:pPr>
        <w:pStyle w:val="ListNumber"/>
      </w:pPr>
      <w:r>
        <w:rPr>
          <w:rFonts w:ascii="Calibri" w:hAnsi="Calibri" w:eastAsia="Calibri"/>
          <w:b w:val="0"/>
          <w:i w:val="0"/>
          <w:color w:val="0D3856"/>
          <w:sz w:val="21"/>
        </w:rPr>
        <w:t>Admin maps specific rate plans to an agent.</w:t>
      </w:r>
    </w:p>
    <w:p>
      <w:pPr>
        <w:pStyle w:val="ListNumber"/>
      </w:pPr>
      <w:r>
        <w:rPr>
          <w:rFonts w:ascii="Calibri" w:hAnsi="Calibri" w:eastAsia="Calibri"/>
          <w:b w:val="0"/>
          <w:i w:val="0"/>
          <w:color w:val="0D3856"/>
          <w:sz w:val="21"/>
        </w:rPr>
        <w:t>Agent uses assigned plans for booking and wallet operations.</w:t>
      </w:r>
    </w:p>
    <w:p>
      <w:pPr>
        <w:pStyle w:val="Heading1"/>
      </w:pPr>
      <w:r>
        <w:t>Access and permissions</w:t>
      </w:r>
    </w:p>
    <w:p>
      <w:pPr>
        <w:pStyle w:val="ListBullet"/>
      </w:pPr>
      <w:r>
        <w:rPr>
          <w:rFonts w:ascii="Calibri" w:hAnsi="Calibri" w:eastAsia="Calibri"/>
          <w:b w:val="0"/>
          <w:i w:val="0"/>
          <w:color w:val="0D3856"/>
          <w:sz w:val="21"/>
        </w:rPr>
        <w:t>JWT authentication is combined with role guards in protected controllers.</w:t>
      </w:r>
    </w:p>
    <w:p>
      <w:pPr>
        <w:pStyle w:val="ListBullet"/>
      </w:pPr>
      <w:r>
        <w:rPr>
          <w:rFonts w:ascii="Calibri" w:hAnsi="Calibri" w:eastAsia="Calibri"/>
          <w:b w:val="0"/>
          <w:i w:val="0"/>
          <w:color w:val="0D3856"/>
          <w:sz w:val="21"/>
        </w:rPr>
        <w:t>Agent accounts must not expose other agents' bookings or unassigned plans.</w:t>
      </w:r>
    </w:p>
    <w:p>
      <w:pPr>
        <w:pStyle w:val="ListBullet"/>
      </w:pPr>
      <w:r>
        <w:rPr>
          <w:rFonts w:ascii="Calibri" w:hAnsi="Calibri" w:eastAsia="Calibri"/>
          <w:b w:val="0"/>
          <w:i w:val="0"/>
          <w:color w:val="0D3856"/>
          <w:sz w:val="21"/>
        </w:rPr>
        <w:t>Wallet recharge and balance operations should be treated as financial actions.</w:t>
      </w:r>
    </w:p>
    <w:p>
      <w:pPr>
        <w:pStyle w:val="Heading1"/>
      </w:pPr>
      <w:r>
        <w:t>Risks, boundaries, and implementation notes</w:t>
      </w:r>
    </w:p>
    <w:p>
      <w:pPr>
        <w:pStyle w:val="ListBullet"/>
      </w:pPr>
      <w:r>
        <w:rPr>
          <w:rFonts w:ascii="Calibri" w:hAnsi="Calibri" w:eastAsia="Calibri"/>
          <w:b w:val="0"/>
          <w:i w:val="0"/>
          <w:color w:val="0D3856"/>
          <w:sz w:val="21"/>
        </w:rPr>
        <w:t>The local demo password must be changed before shared or production use.</w:t>
      </w:r>
    </w:p>
    <w:p>
      <w:pPr>
        <w:pStyle w:val="ListBullet"/>
      </w:pPr>
      <w:r>
        <w:rPr>
          <w:rFonts w:ascii="Calibri" w:hAnsi="Calibri" w:eastAsia="Calibri"/>
          <w:b w:val="0"/>
          <w:i w:val="0"/>
          <w:color w:val="0D3856"/>
          <w:sz w:val="21"/>
        </w:rPr>
        <w:t>Token refresh and revocation behavior must be tested across multiple browser tabs.</w:t>
      </w:r>
    </w:p>
    <w:p>
      <w:pPr>
        <w:pStyle w:val="ListBullet"/>
      </w:pPr>
      <w:r>
        <w:rPr>
          <w:rFonts w:ascii="Calibri" w:hAnsi="Calibri" w:eastAsia="Calibri"/>
          <w:b w:val="0"/>
          <w:i w:val="0"/>
          <w:color w:val="0D3856"/>
          <w:sz w:val="21"/>
        </w:rPr>
        <w:t>Role naming and UI visibility should remain aligned with backend guards.</w:t>
      </w:r>
    </w:p>
    <w:p>
      <w:pPr>
        <w:pStyle w:val="Heading1"/>
      </w:pPr>
      <w:r>
        <w:t>Recommended verification scenarios</w:t>
      </w:r>
    </w:p>
    <w:p>
      <w:pPr>
        <w:pStyle w:val="ListBullet"/>
      </w:pPr>
      <w:r>
        <w:rPr>
          <w:rFonts w:ascii="Calibri" w:hAnsi="Calibri" w:eastAsia="Calibri"/>
          <w:b w:val="0"/>
          <w:i w:val="0"/>
          <w:color w:val="0D3856"/>
          <w:sz w:val="21"/>
        </w:rPr>
        <w:t>Sign in, refresh after expiry, and sign out.</w:t>
      </w:r>
    </w:p>
    <w:p>
      <w:pPr>
        <w:pStyle w:val="ListBullet"/>
      </w:pPr>
      <w:r>
        <w:rPr>
          <w:rFonts w:ascii="Calibri" w:hAnsi="Calibri" w:eastAsia="Calibri"/>
          <w:b w:val="0"/>
          <w:i w:val="0"/>
          <w:color w:val="0D3856"/>
          <w:sz w:val="21"/>
        </w:rPr>
        <w:t>Deactivate a user and verify access is denied.</w:t>
      </w:r>
    </w:p>
    <w:p>
      <w:pPr>
        <w:pStyle w:val="ListBullet"/>
      </w:pPr>
      <w:r>
        <w:rPr>
          <w:rFonts w:ascii="Calibri" w:hAnsi="Calibri" w:eastAsia="Calibri"/>
          <w:b w:val="0"/>
          <w:i w:val="0"/>
          <w:color w:val="0D3856"/>
          <w:sz w:val="21"/>
        </w:rPr>
        <w:t>Assign one plan to an agent and verify only that plan appears in the agent portal.</w:t>
      </w:r>
    </w:p>
    <w:p>
      <w:pPr>
        <w:pStyle w:val="ListBullet"/>
      </w:pPr>
      <w:r>
        <w:rPr>
          <w:rFonts w:ascii="Calibri" w:hAnsi="Calibri" w:eastAsia="Calibri"/>
          <w:b w:val="0"/>
          <w:i w:val="0"/>
          <w:color w:val="0D3856"/>
          <w:sz w:val="21"/>
        </w:rPr>
        <w:t>Recharge a wallet and reconcile the transaction with the balance.</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