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Calibri"/>
          <w:b/>
          <w:i w:val="0"/>
          <w:color w:val="C99B42"/>
          <w:sz w:val="22"/>
        </w:rPr>
        <w:t>RAINWOOD HOTELS</w:t>
      </w:r>
    </w:p>
    <w:p>
      <w:pPr>
        <w:pStyle w:val="Title"/>
      </w:pPr>
      <w:r>
        <w:rPr>
          <w:rFonts w:ascii="Calibri" w:hAnsi="Calibri" w:eastAsia="Calibri"/>
          <w:b/>
          <w:i w:val="0"/>
          <w:color w:val="0D3856"/>
          <w:sz w:val="50"/>
        </w:rPr>
        <w:t>AxisRooms Integration</w:t>
      </w:r>
    </w:p>
    <w:p>
      <w:r>
        <w:rPr>
          <w:rFonts w:ascii="Calibri" w:hAnsi="Calibri" w:eastAsia="Calibri"/>
          <w:b w:val="0"/>
          <w:i w:val="0"/>
          <w:color w:val="2E74B5"/>
          <w:sz w:val="26"/>
        </w:rPr>
        <w:t>Inbound inventory/rate sync and booking synchronization boundary</w:t>
      </w:r>
    </w:p>
    <w:tbl>
      <w:tblPr>
        <w:tblW w:type="dxa" w:w="9360"/>
        <w:jc w:val="center"/>
        <w:tblLayout w:type="fixed"/>
        <w:tblLook w:firstColumn="1" w:firstRow="1" w:lastColumn="0" w:lastRow="0" w:noHBand="0" w:noVBand="1" w:val="04A0"/>
        <w:tblInd w:w="120" w:type="dxa"/>
      </w:tblPr>
      <w:tblGrid>
        <w:gridCol w:w="1900"/>
        <w:gridCol w:w="7460"/>
      </w:tblGrid>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Audience</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Engineering, product, and operations</w:t>
            </w:r>
          </w:p>
        </w:tc>
      </w:tr>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Source basis</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Static analysis of frontend routes, backend controllers/services, and Prisma schema</w:t>
            </w:r>
          </w:p>
        </w:tc>
      </w:tr>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Status</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Observed implementation; confirm business policy before production changes</w:t>
            </w:r>
          </w:p>
        </w:tc>
      </w:tr>
    </w:tbl>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8EEF5"/>
          </w:tcPr>
          <w:p>
            <w:r>
              <w:rPr>
                <w:rFonts w:ascii="Calibri" w:hAnsi="Calibri" w:eastAsia="Calibri"/>
                <w:b/>
                <w:i w:val="0"/>
                <w:color w:val="0D3856"/>
                <w:sz w:val="20"/>
              </w:rPr>
              <w:t xml:space="preserve">Module purpose  </w:t>
            </w:r>
            <w:r>
              <w:rPr>
                <w:rFonts w:ascii="Calibri" w:hAnsi="Calibri" w:eastAsia="Calibri"/>
                <w:b w:val="0"/>
                <w:i w:val="0"/>
                <w:color w:val="0D3856"/>
                <w:sz w:val="20"/>
              </w:rPr>
              <w:t>Defines the integration boundary for AxisRooms-style inventory, rate, and booking synchronization while allowing mock mode for local development.</w:t>
            </w:r>
          </w:p>
        </w:tc>
      </w:tr>
    </w:tbl>
    <w:p>
      <w:pPr>
        <w:spacing w:after="0"/>
      </w:pPr>
    </w:p>
    <w:p>
      <w:pPr>
        <w:spacing w:before="80" w:after="40"/>
        <w:jc w:val="center"/>
      </w:pPr>
      <w:r>
        <w:drawing>
          <wp:inline xmlns:a="http://schemas.openxmlformats.org/drawingml/2006/main" xmlns:pic="http://schemas.openxmlformats.org/drawingml/2006/picture">
            <wp:extent cx="5715000" cy="2714700"/>
            <wp:docPr id="1" name="Picture 1" descr="Local RainWood UI screenshot: AxisRooms Integration." title="Local RainWood UI screenshot: AxisRooms Integration."/>
            <wp:cNvGraphicFramePr>
              <a:graphicFrameLocks noChangeAspect="1"/>
            </wp:cNvGraphicFramePr>
            <a:graphic>
              <a:graphicData uri="http://schemas.openxmlformats.org/drawingml/2006/picture">
                <pic:pic>
                  <pic:nvPicPr>
                    <pic:cNvPr id="0" name="axisrooms-integration.png"/>
                    <pic:cNvPicPr/>
                  </pic:nvPicPr>
                  <pic:blipFill>
                    <a:blip r:embed="rId11"/>
                    <a:stretch>
                      <a:fillRect/>
                    </a:stretch>
                  </pic:blipFill>
                  <pic:spPr>
                    <a:xfrm>
                      <a:off x="0" y="0"/>
                      <a:ext cx="5715000" cy="2714700"/>
                    </a:xfrm>
                    <a:prstGeom prst="rect"/>
                  </pic:spPr>
                </pic:pic>
              </a:graphicData>
            </a:graphic>
          </wp:inline>
        </w:drawing>
      </w:r>
    </w:p>
    <w:p>
      <w:pPr>
        <w:spacing w:after="140"/>
        <w:jc w:val="center"/>
      </w:pPr>
      <w:r>
        <w:rPr>
          <w:rFonts w:ascii="Calibri" w:hAnsi="Calibri" w:eastAsia="Calibri"/>
          <w:b w:val="0"/>
          <w:i/>
          <w:color w:val="60758A"/>
          <w:sz w:val="17"/>
        </w:rPr>
        <w:t>Local RainWood UI screenshot: AxisRooms Integration.</w:t>
      </w:r>
    </w:p>
    <w:p>
      <w:pPr>
        <w:pStyle w:val="Heading1"/>
      </w:pPr>
      <w:r>
        <w:t>Client guide: what this screen is for</w:t>
      </w: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F7FAFC"/>
          </w:tcPr>
          <w:p>
            <w:r>
              <w:rPr>
                <w:rFonts w:ascii="Calibri" w:hAnsi="Calibri" w:eastAsia="Calibri"/>
                <w:b/>
                <w:i w:val="0"/>
                <w:color w:val="0D3856"/>
                <w:sz w:val="20"/>
              </w:rPr>
              <w:t xml:space="preserve">In plain language  </w:t>
            </w:r>
            <w:r>
              <w:rPr>
                <w:rFonts w:ascii="Calibri" w:hAnsi="Calibri" w:eastAsia="Calibri"/>
                <w:b w:val="0"/>
                <w:i w:val="0"/>
                <w:color w:val="0D3856"/>
                <w:sz w:val="20"/>
              </w:rPr>
              <w:t>Use this area to understand or monitor synchronisation with the external channel manager.</w:t>
            </w:r>
          </w:p>
        </w:tc>
      </w:tr>
    </w:tbl>
    <w:p>
      <w:pPr>
        <w:spacing w:after="0"/>
      </w:pPr>
    </w:p>
    <w:tbl>
      <w:tblPr>
        <w:tblStyle w:val="TableGrid"/>
        <w:tblW w:type="dxa" w:w="9460"/>
        <w:jc w:val="center"/>
        <w:tblLayout w:type="fixed"/>
        <w:tblLook w:firstColumn="1" w:firstRow="1" w:lastColumn="0" w:lastRow="0" w:noHBand="0" w:noVBand="1" w:val="04A0"/>
        <w:tblInd w:w="120" w:type="dxa"/>
      </w:tblPr>
      <w:tblGrid>
        <w:gridCol w:w="2100"/>
        <w:gridCol w:w="3900"/>
        <w:gridCol w:w="3460"/>
      </w:tblGrid>
      <w:tr>
        <w:trPr>
          <w:tblHeader w:val="true"/>
        </w:trPr>
        <w:tc>
          <w:tcPr>
            <w:tcW w:type="dxa" w:w="2100"/>
            <w:vAlign w:val="top"/>
            <w:tcMar>
              <w:top w:w="80" w:type="dxa"/>
              <w:start w:w="120" w:type="dxa"/>
              <w:bottom w:w="80" w:type="dxa"/>
              <w:end w:w="120" w:type="dxa"/>
            </w:tcMar>
            <w:shd w:fill="0D3856"/>
          </w:tcPr>
          <w:p>
            <w:r>
              <w:rPr>
                <w:rFonts w:ascii="Calibri" w:hAnsi="Calibri" w:eastAsia="Calibri"/>
                <w:b/>
                <w:i w:val="0"/>
                <w:color w:val="FFFFFF"/>
                <w:sz w:val="19"/>
              </w:rPr>
              <w:t>Field or control</w:t>
            </w:r>
          </w:p>
        </w:tc>
        <w:tc>
          <w:tcPr>
            <w:tcW w:type="dxa" w:w="3900"/>
            <w:vAlign w:val="top"/>
            <w:tcMar>
              <w:top w:w="80" w:type="dxa"/>
              <w:start w:w="120" w:type="dxa"/>
              <w:bottom w:w="80" w:type="dxa"/>
              <w:end w:w="120" w:type="dxa"/>
            </w:tcMar>
            <w:shd w:fill="0D3856"/>
          </w:tcPr>
          <w:p>
            <w:r>
              <w:rPr>
                <w:rFonts w:ascii="Calibri" w:hAnsi="Calibri" w:eastAsia="Calibri"/>
                <w:b/>
                <w:i w:val="0"/>
                <w:color w:val="FFFFFF"/>
                <w:sz w:val="19"/>
              </w:rPr>
              <w:t>What you see</w:t>
            </w:r>
          </w:p>
        </w:tc>
        <w:tc>
          <w:tcPr>
            <w:tcW w:type="dxa" w:w="3460"/>
            <w:vAlign w:val="top"/>
            <w:tcMar>
              <w:top w:w="80" w:type="dxa"/>
              <w:start w:w="120" w:type="dxa"/>
              <w:bottom w:w="80" w:type="dxa"/>
              <w:end w:w="120" w:type="dxa"/>
            </w:tcMar>
            <w:shd w:fill="0D3856"/>
          </w:tcPr>
          <w:p>
            <w:r>
              <w:rPr>
                <w:rFonts w:ascii="Calibri" w:hAnsi="Calibri" w:eastAsia="Calibri"/>
                <w:b/>
                <w:i w:val="0"/>
                <w:color w:val="FFFFFF"/>
                <w:sz w:val="19"/>
              </w:rPr>
              <w:t>Why it is used</w:t>
            </w:r>
          </w:p>
        </w:tc>
      </w:tr>
      <w:tr>
        <w:tc>
          <w:tcPr>
            <w:tcW w:type="dxa" w:w="2100"/>
            <w:shd w:fill="F7FAFC"/>
          </w:tcPr>
          <w:p>
            <w:r>
              <w:rPr>
                <w:rFonts w:ascii="Calibri" w:hAnsi="Calibri" w:eastAsia="Calibri"/>
                <w:b/>
                <w:i w:val="0"/>
                <w:color w:val="0D3856"/>
                <w:sz w:val="19"/>
              </w:rPr>
              <w:t>Connection</w:t>
            </w:r>
          </w:p>
        </w:tc>
        <w:tc>
          <w:tcPr>
            <w:tcW w:type="dxa" w:w="3900"/>
          </w:tcPr>
          <w:p>
            <w:r>
              <w:rPr>
                <w:rFonts w:ascii="Calibri" w:hAnsi="Calibri" w:eastAsia="Calibri"/>
                <w:b w:val="0"/>
                <w:i w:val="0"/>
                <w:color w:val="0D3856"/>
                <w:sz w:val="19"/>
              </w:rPr>
              <w:t>Provider and connection mode</w:t>
            </w:r>
          </w:p>
        </w:tc>
        <w:tc>
          <w:tcPr>
            <w:tcW w:type="dxa" w:w="3460"/>
          </w:tcPr>
          <w:p>
            <w:r>
              <w:rPr>
                <w:rFonts w:ascii="Calibri" w:hAnsi="Calibri" w:eastAsia="Calibri"/>
                <w:b w:val="0"/>
                <w:i w:val="0"/>
                <w:color w:val="0D3856"/>
                <w:sz w:val="19"/>
              </w:rPr>
              <w:t>Identify where inventory and rates are exchanged.</w:t>
            </w:r>
          </w:p>
        </w:tc>
      </w:tr>
      <w:tr>
        <w:tc>
          <w:tcPr>
            <w:tcW w:type="dxa" w:w="2100"/>
            <w:shd w:fill="F7FAFC"/>
          </w:tcPr>
          <w:p>
            <w:r>
              <w:rPr>
                <w:rFonts w:ascii="Calibri" w:hAnsi="Calibri" w:eastAsia="Calibri"/>
                <w:b/>
                <w:i w:val="0"/>
                <w:color w:val="0D3856"/>
                <w:sz w:val="19"/>
              </w:rPr>
              <w:t>Inbound update</w:t>
            </w:r>
          </w:p>
        </w:tc>
        <w:tc>
          <w:tcPr>
            <w:tcW w:type="dxa" w:w="3900"/>
          </w:tcPr>
          <w:p>
            <w:r>
              <w:rPr>
                <w:rFonts w:ascii="Calibri" w:hAnsi="Calibri" w:eastAsia="Calibri"/>
                <w:b w:val="0"/>
                <w:i w:val="0"/>
                <w:color w:val="0D3856"/>
                <w:sz w:val="19"/>
              </w:rPr>
              <w:t>Room, rate, inventory, or reservation message</w:t>
            </w:r>
          </w:p>
        </w:tc>
        <w:tc>
          <w:tcPr>
            <w:tcW w:type="dxa" w:w="3460"/>
          </w:tcPr>
          <w:p>
            <w:r>
              <w:rPr>
                <w:rFonts w:ascii="Calibri" w:hAnsi="Calibri" w:eastAsia="Calibri"/>
                <w:b w:val="0"/>
                <w:i w:val="0"/>
                <w:color w:val="0D3856"/>
                <w:sz w:val="19"/>
              </w:rPr>
              <w:t>Understand data received from the channel manager.</w:t>
            </w:r>
          </w:p>
        </w:tc>
      </w:tr>
      <w:tr>
        <w:tc>
          <w:tcPr>
            <w:tcW w:type="dxa" w:w="2100"/>
            <w:shd w:fill="F7FAFC"/>
          </w:tcPr>
          <w:p>
            <w:r>
              <w:rPr>
                <w:rFonts w:ascii="Calibri" w:hAnsi="Calibri" w:eastAsia="Calibri"/>
                <w:b/>
                <w:i w:val="0"/>
                <w:color w:val="0D3856"/>
                <w:sz w:val="19"/>
              </w:rPr>
              <w:t>Outbound update</w:t>
            </w:r>
          </w:p>
        </w:tc>
        <w:tc>
          <w:tcPr>
            <w:tcW w:type="dxa" w:w="3900"/>
          </w:tcPr>
          <w:p>
            <w:r>
              <w:rPr>
                <w:rFonts w:ascii="Calibri" w:hAnsi="Calibri" w:eastAsia="Calibri"/>
                <w:b w:val="0"/>
                <w:i w:val="0"/>
                <w:color w:val="0D3856"/>
                <w:sz w:val="19"/>
              </w:rPr>
              <w:t>Availability, price, or booking notification</w:t>
            </w:r>
          </w:p>
        </w:tc>
        <w:tc>
          <w:tcPr>
            <w:tcW w:type="dxa" w:w="3460"/>
          </w:tcPr>
          <w:p>
            <w:r>
              <w:rPr>
                <w:rFonts w:ascii="Calibri" w:hAnsi="Calibri" w:eastAsia="Calibri"/>
                <w:b w:val="0"/>
                <w:i w:val="0"/>
                <w:color w:val="0D3856"/>
                <w:sz w:val="19"/>
              </w:rPr>
              <w:t>Understand data sent to the partner.</w:t>
            </w:r>
          </w:p>
        </w:tc>
      </w:tr>
      <w:tr>
        <w:tc>
          <w:tcPr>
            <w:tcW w:type="dxa" w:w="2100"/>
            <w:shd w:fill="F7FAFC"/>
          </w:tcPr>
          <w:p>
            <w:r>
              <w:rPr>
                <w:rFonts w:ascii="Calibri" w:hAnsi="Calibri" w:eastAsia="Calibri"/>
                <w:b/>
                <w:i w:val="0"/>
                <w:color w:val="0D3856"/>
                <w:sz w:val="19"/>
              </w:rPr>
              <w:t>Result</w:t>
            </w:r>
          </w:p>
        </w:tc>
        <w:tc>
          <w:tcPr>
            <w:tcW w:type="dxa" w:w="3900"/>
          </w:tcPr>
          <w:p>
            <w:r>
              <w:rPr>
                <w:rFonts w:ascii="Calibri" w:hAnsi="Calibri" w:eastAsia="Calibri"/>
                <w:b w:val="0"/>
                <w:i w:val="0"/>
                <w:color w:val="0D3856"/>
                <w:sz w:val="19"/>
              </w:rPr>
              <w:t>Accepted, failed, retrying, or mock mode</w:t>
            </w:r>
          </w:p>
        </w:tc>
        <w:tc>
          <w:tcPr>
            <w:tcW w:type="dxa" w:w="3460"/>
          </w:tcPr>
          <w:p>
            <w:r>
              <w:rPr>
                <w:rFonts w:ascii="Calibri" w:hAnsi="Calibri" w:eastAsia="Calibri"/>
                <w:b w:val="0"/>
                <w:i w:val="0"/>
                <w:color w:val="0D3856"/>
                <w:sz w:val="19"/>
              </w:rPr>
              <w:t>Confirm whether synchronisation completed.</w:t>
            </w:r>
          </w:p>
        </w:tc>
      </w:tr>
    </w:tbl>
    <w:p>
      <w:pPr>
        <w:spacing w:after="0"/>
      </w:pP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EF6EF"/>
          </w:tcPr>
          <w:p>
            <w:r>
              <w:rPr>
                <w:rFonts w:ascii="Calibri" w:hAnsi="Calibri" w:eastAsia="Calibri"/>
                <w:b/>
                <w:i w:val="0"/>
                <w:color w:val="0D3856"/>
                <w:sz w:val="20"/>
              </w:rPr>
              <w:t xml:space="preserve">Next step  </w:t>
            </w:r>
            <w:r>
              <w:rPr>
                <w:rFonts w:ascii="Calibri" w:hAnsi="Calibri" w:eastAsia="Calibri"/>
                <w:b w:val="0"/>
                <w:i w:val="0"/>
                <w:color w:val="0D3856"/>
                <w:sz w:val="20"/>
              </w:rPr>
              <w:t>Complete the required fields, save the record, then use the workflow and verification steps below to confirm that the information is available to the next module.</w:t>
            </w:r>
          </w:p>
        </w:tc>
      </w:tr>
    </w:tbl>
    <w:p>
      <w:pPr>
        <w:spacing w:after="0"/>
      </w:pPr>
    </w:p>
    <w:p>
      <w:pPr>
        <w:pStyle w:val="Heading1"/>
      </w:pPr>
      <w:r>
        <w:t>Functional surface</w:t>
      </w:r>
    </w:p>
    <w:tbl>
      <w:tblPr>
        <w:tblStyle w:val="TableGrid"/>
        <w:tblW w:type="dxa" w:w="9360"/>
        <w:jc w:val="center"/>
        <w:tblLayout w:type="fixed"/>
        <w:tblLook w:firstColumn="1" w:firstRow="1" w:lastColumn="0" w:lastRow="0" w:noHBand="0" w:noVBand="1" w:val="04A0"/>
        <w:tblInd w:w="120" w:type="dxa"/>
      </w:tblPr>
      <w:tblGrid>
        <w:gridCol w:w="2500"/>
        <w:gridCol w:w="6860"/>
      </w:tblGrid>
      <w:tr>
        <w:trPr>
          <w:tblHeader w:val="true"/>
        </w:trPr>
        <w:tc>
          <w:tcPr>
            <w:tcW w:type="dxa" w:w="2500"/>
            <w:vAlign w:val="top"/>
            <w:tcMar>
              <w:top w:w="80" w:type="dxa"/>
              <w:start w:w="120" w:type="dxa"/>
              <w:bottom w:w="80" w:type="dxa"/>
              <w:end w:w="120" w:type="dxa"/>
            </w:tcMar>
            <w:shd w:fill="0D3856"/>
          </w:tcPr>
          <w:p>
            <w:r>
              <w:rPr>
                <w:rFonts w:ascii="Calibri" w:hAnsi="Calibri" w:eastAsia="Calibri"/>
                <w:b/>
                <w:i w:val="0"/>
                <w:color w:val="FFFFFF"/>
                <w:sz w:val="19"/>
              </w:rPr>
              <w:t>Surface</w:t>
            </w:r>
          </w:p>
        </w:tc>
        <w:tc>
          <w:tcPr>
            <w:tcW w:type="dxa" w:w="6860"/>
            <w:vAlign w:val="top"/>
            <w:tcMar>
              <w:top w:w="80" w:type="dxa"/>
              <w:start w:w="120" w:type="dxa"/>
              <w:bottom w:w="80" w:type="dxa"/>
              <w:end w:w="120" w:type="dxa"/>
            </w:tcMar>
            <w:shd w:fill="0D3856"/>
          </w:tcPr>
          <w:p>
            <w:r>
              <w:rPr>
                <w:rFonts w:ascii="Calibri" w:hAnsi="Calibri" w:eastAsia="Calibri"/>
                <w:b/>
                <w:i w:val="0"/>
                <w:color w:val="FFFFFF"/>
                <w:sz w:val="19"/>
              </w:rPr>
              <w:t>Observed responsibility</w:t>
            </w:r>
          </w:p>
        </w:tc>
      </w:tr>
      <w:tr>
        <w:tc>
          <w:tcPr>
            <w:tcW w:type="dxa" w:w="2500"/>
            <w:shd w:fill="F7FAFC"/>
          </w:tcPr>
          <w:p>
            <w:r>
              <w:rPr>
                <w:rFonts w:ascii="Calibri" w:hAnsi="Calibri" w:eastAsia="Calibri"/>
                <w:b/>
                <w:i w:val="0"/>
                <w:color w:val="0D3856"/>
                <w:sz w:val="19"/>
              </w:rPr>
              <w:t>Admin AxisRooms</w:t>
            </w:r>
          </w:p>
        </w:tc>
        <w:tc>
          <w:tcPr>
            <w:tcW w:type="dxa" w:w="6860"/>
          </w:tcPr>
          <w:p>
            <w:r>
              <w:rPr>
                <w:rFonts w:ascii="Calibri" w:hAnsi="Calibri" w:eastAsia="Calibri"/>
                <w:b w:val="0"/>
                <w:i w:val="0"/>
                <w:color w:val="0D3856"/>
                <w:sz w:val="19"/>
              </w:rPr>
              <w:t>View sync state, errors, and integration activity.</w:t>
            </w:r>
          </w:p>
        </w:tc>
      </w:tr>
      <w:tr>
        <w:tc>
          <w:tcPr>
            <w:tcW w:type="dxa" w:w="2500"/>
            <w:shd w:fill="F7FAFC"/>
          </w:tcPr>
          <w:p>
            <w:r>
              <w:rPr>
                <w:rFonts w:ascii="Calibri" w:hAnsi="Calibri" w:eastAsia="Calibri"/>
                <w:b/>
                <w:i w:val="0"/>
                <w:color w:val="0D3856"/>
                <w:sz w:val="19"/>
              </w:rPr>
              <w:t>Inbound inventory/rates</w:t>
            </w:r>
          </w:p>
        </w:tc>
        <w:tc>
          <w:tcPr>
            <w:tcW w:type="dxa" w:w="6860"/>
          </w:tcPr>
          <w:p>
            <w:r>
              <w:rPr>
                <w:rFonts w:ascii="Calibri" w:hAnsi="Calibri" w:eastAsia="Calibri"/>
                <w:b w:val="0"/>
                <w:i w:val="0"/>
                <w:color w:val="0D3856"/>
                <w:sz w:val="19"/>
              </w:rPr>
              <w:t>Accept channel updates into the platform.</w:t>
            </w:r>
          </w:p>
        </w:tc>
      </w:tr>
      <w:tr>
        <w:tc>
          <w:tcPr>
            <w:tcW w:type="dxa" w:w="2500"/>
            <w:shd w:fill="F7FAFC"/>
          </w:tcPr>
          <w:p>
            <w:r>
              <w:rPr>
                <w:rFonts w:ascii="Calibri" w:hAnsi="Calibri" w:eastAsia="Calibri"/>
                <w:b/>
                <w:i w:val="0"/>
                <w:color w:val="0D3856"/>
                <w:sz w:val="19"/>
              </w:rPr>
              <w:t>Reservation sync</w:t>
            </w:r>
          </w:p>
        </w:tc>
        <w:tc>
          <w:tcPr>
            <w:tcW w:type="dxa" w:w="6860"/>
          </w:tcPr>
          <w:p>
            <w:r>
              <w:rPr>
                <w:rFonts w:ascii="Calibri" w:hAnsi="Calibri" w:eastAsia="Calibri"/>
                <w:b w:val="0"/>
                <w:i w:val="0"/>
                <w:color w:val="0D3856"/>
                <w:sz w:val="19"/>
              </w:rPr>
              <w:t>Queue confirmed reservation changes for channel push.</w:t>
            </w:r>
          </w:p>
        </w:tc>
      </w:tr>
      <w:tr>
        <w:tc>
          <w:tcPr>
            <w:tcW w:type="dxa" w:w="2500"/>
            <w:shd w:fill="F7FAFC"/>
          </w:tcPr>
          <w:p>
            <w:r>
              <w:rPr>
                <w:rFonts w:ascii="Calibri" w:hAnsi="Calibri" w:eastAsia="Calibri"/>
                <w:b/>
                <w:i w:val="0"/>
                <w:color w:val="0D3856"/>
                <w:sz w:val="19"/>
              </w:rPr>
              <w:t>Configuration</w:t>
            </w:r>
          </w:p>
        </w:tc>
        <w:tc>
          <w:tcPr>
            <w:tcW w:type="dxa" w:w="6860"/>
          </w:tcPr>
          <w:p>
            <w:r>
              <w:rPr>
                <w:rFonts w:ascii="Calibri" w:hAnsi="Calibri" w:eastAsia="Calibri"/>
                <w:b w:val="0"/>
                <w:i w:val="0"/>
                <w:color w:val="0D3856"/>
                <w:sz w:val="19"/>
              </w:rPr>
              <w:t>Use AXISROOMS_MODE and provider credentials per environment.</w:t>
            </w:r>
          </w:p>
        </w:tc>
      </w:tr>
    </w:tbl>
    <w:p>
      <w:pPr>
        <w:spacing w:after="0"/>
      </w:pPr>
    </w:p>
    <w:p>
      <w:pPr>
        <w:pStyle w:val="Heading1"/>
      </w:pPr>
      <w:r>
        <w:t>Code map</w:t>
      </w:r>
    </w:p>
    <w:tbl>
      <w:tblPr>
        <w:tblStyle w:val="TableGrid"/>
        <w:tblW w:type="dxa" w:w="9360"/>
        <w:jc w:val="center"/>
        <w:tblLayout w:type="fixed"/>
        <w:tblLook w:firstColumn="1" w:firstRow="1" w:lastColumn="0" w:lastRow="0" w:noHBand="0" w:noVBand="1" w:val="04A0"/>
        <w:tblInd w:w="120" w:type="dxa"/>
      </w:tblPr>
      <w:tblGrid>
        <w:gridCol w:w="1800"/>
        <w:gridCol w:w="3600"/>
        <w:gridCol w:w="3960"/>
      </w:tblGrid>
      <w:tr>
        <w:trPr>
          <w:tblHeader w:val="true"/>
        </w:trPr>
        <w:tc>
          <w:tcPr>
            <w:tcW w:type="dxa" w:w="1800"/>
            <w:vAlign w:val="top"/>
            <w:tcMar>
              <w:top w:w="80" w:type="dxa"/>
              <w:start w:w="120" w:type="dxa"/>
              <w:bottom w:w="80" w:type="dxa"/>
              <w:end w:w="120" w:type="dxa"/>
            </w:tcMar>
            <w:shd w:fill="0D3856"/>
          </w:tcPr>
          <w:p>
            <w:r>
              <w:rPr>
                <w:rFonts w:ascii="Calibri" w:hAnsi="Calibri" w:eastAsia="Calibri"/>
                <w:b/>
                <w:i w:val="0"/>
                <w:color w:val="FFFFFF"/>
                <w:sz w:val="19"/>
              </w:rPr>
              <w:t>Layer</w:t>
            </w:r>
          </w:p>
        </w:tc>
        <w:tc>
          <w:tcPr>
            <w:tcW w:type="dxa" w:w="3600"/>
            <w:vAlign w:val="top"/>
            <w:tcMar>
              <w:top w:w="80" w:type="dxa"/>
              <w:start w:w="120" w:type="dxa"/>
              <w:bottom w:w="80" w:type="dxa"/>
              <w:end w:w="120" w:type="dxa"/>
            </w:tcMar>
            <w:shd w:fill="0D3856"/>
          </w:tcPr>
          <w:p>
            <w:r>
              <w:rPr>
                <w:rFonts w:ascii="Calibri" w:hAnsi="Calibri" w:eastAsia="Calibri"/>
                <w:b/>
                <w:i w:val="0"/>
                <w:color w:val="FFFFFF"/>
                <w:sz w:val="19"/>
              </w:rPr>
              <w:t>Files / symbols</w:t>
            </w:r>
          </w:p>
        </w:tc>
        <w:tc>
          <w:tcPr>
            <w:tcW w:type="dxa" w:w="3960"/>
            <w:vAlign w:val="top"/>
            <w:tcMar>
              <w:top w:w="80" w:type="dxa"/>
              <w:start w:w="120" w:type="dxa"/>
              <w:bottom w:w="80" w:type="dxa"/>
              <w:end w:w="120" w:type="dxa"/>
            </w:tcMar>
            <w:shd w:fill="0D3856"/>
          </w:tcPr>
          <w:p>
            <w:r>
              <w:rPr>
                <w:rFonts w:ascii="Calibri" w:hAnsi="Calibri" w:eastAsia="Calibri"/>
                <w:b/>
                <w:i w:val="0"/>
                <w:color w:val="FFFFFF"/>
                <w:sz w:val="19"/>
              </w:rPr>
              <w:t>What the code does</w:t>
            </w:r>
          </w:p>
        </w:tc>
      </w:tr>
      <w:tr>
        <w:tc>
          <w:tcPr>
            <w:tcW w:type="dxa" w:w="1800"/>
            <w:shd w:fill="F7FAFC"/>
          </w:tcPr>
          <w:p>
            <w:r>
              <w:rPr>
                <w:rFonts w:ascii="Calibri" w:hAnsi="Calibri" w:eastAsia="Calibri"/>
                <w:b/>
                <w:i w:val="0"/>
                <w:color w:val="0D3856"/>
                <w:sz w:val="19"/>
              </w:rPr>
              <w:t>Frontend</w:t>
            </w:r>
          </w:p>
        </w:tc>
        <w:tc>
          <w:tcPr>
            <w:tcW w:type="dxa" w:w="3600"/>
          </w:tcPr>
          <w:p>
            <w:r>
              <w:rPr>
                <w:rFonts w:ascii="Calibri" w:hAnsi="Calibri" w:eastAsia="Calibri"/>
                <w:b w:val="0"/>
                <w:i w:val="0"/>
                <w:color w:val="0D3856"/>
                <w:sz w:val="19"/>
              </w:rPr>
              <w:t>frontend/src/app/admin/axisrooms/page.tsx</w:t>
            </w:r>
          </w:p>
        </w:tc>
        <w:tc>
          <w:tcPr>
            <w:tcW w:type="dxa" w:w="3960"/>
          </w:tcPr>
          <w:p>
            <w:r>
              <w:rPr>
                <w:rFonts w:ascii="Calibri" w:hAnsi="Calibri" w:eastAsia="Calibri"/>
                <w:b w:val="0"/>
                <w:i w:val="0"/>
                <w:color w:val="0D3856"/>
                <w:sz w:val="19"/>
              </w:rPr>
              <w:t>Sync and operational view.</w:t>
            </w:r>
          </w:p>
        </w:tc>
      </w:tr>
      <w:tr>
        <w:tc>
          <w:tcPr>
            <w:tcW w:type="dxa" w:w="1800"/>
            <w:shd w:fill="F7FAFC"/>
          </w:tcPr>
          <w:p>
            <w:r>
              <w:rPr>
                <w:rFonts w:ascii="Calibri" w:hAnsi="Calibri" w:eastAsia="Calibri"/>
                <w:b/>
                <w:i w:val="0"/>
                <w:color w:val="0D3856"/>
                <w:sz w:val="19"/>
              </w:rPr>
              <w:t>Backend</w:t>
            </w:r>
          </w:p>
        </w:tc>
        <w:tc>
          <w:tcPr>
            <w:tcW w:type="dxa" w:w="3600"/>
          </w:tcPr>
          <w:p>
            <w:r>
              <w:rPr>
                <w:rFonts w:ascii="Calibri" w:hAnsi="Calibri" w:eastAsia="Calibri"/>
                <w:b w:val="0"/>
                <w:i w:val="0"/>
                <w:color w:val="0D3856"/>
                <w:sz w:val="19"/>
              </w:rPr>
              <w:t>backend/src/modules/axisrooms/axisrooms.controller.ts; axisrooms.service.ts</w:t>
            </w:r>
          </w:p>
        </w:tc>
        <w:tc>
          <w:tcPr>
            <w:tcW w:type="dxa" w:w="3960"/>
          </w:tcPr>
          <w:p>
            <w:r>
              <w:rPr>
                <w:rFonts w:ascii="Calibri" w:hAnsi="Calibri" w:eastAsia="Calibri"/>
                <w:b w:val="0"/>
                <w:i w:val="0"/>
                <w:color w:val="0D3856"/>
                <w:sz w:val="19"/>
              </w:rPr>
              <w:t>Inbound sync handlers and adapter boundary.</w:t>
            </w:r>
          </w:p>
        </w:tc>
      </w:tr>
      <w:tr>
        <w:tc>
          <w:tcPr>
            <w:tcW w:type="dxa" w:w="1800"/>
            <w:shd w:fill="F7FAFC"/>
          </w:tcPr>
          <w:p>
            <w:r>
              <w:rPr>
                <w:rFonts w:ascii="Calibri" w:hAnsi="Calibri" w:eastAsia="Calibri"/>
                <w:b/>
                <w:i w:val="0"/>
                <w:color w:val="0D3856"/>
                <w:sz w:val="19"/>
              </w:rPr>
              <w:t>Schema</w:t>
            </w:r>
          </w:p>
        </w:tc>
        <w:tc>
          <w:tcPr>
            <w:tcW w:type="dxa" w:w="3600"/>
          </w:tcPr>
          <w:p>
            <w:r>
              <w:rPr>
                <w:rFonts w:ascii="Calibri" w:hAnsi="Calibri" w:eastAsia="Calibri"/>
                <w:b w:val="0"/>
                <w:i w:val="0"/>
                <w:color w:val="0D3856"/>
                <w:sz w:val="19"/>
              </w:rPr>
              <w:t>AxisSyncLog, Reservation.syncStatus</w:t>
            </w:r>
          </w:p>
        </w:tc>
        <w:tc>
          <w:tcPr>
            <w:tcW w:type="dxa" w:w="3960"/>
          </w:tcPr>
          <w:p>
            <w:r>
              <w:rPr>
                <w:rFonts w:ascii="Calibri" w:hAnsi="Calibri" w:eastAsia="Calibri"/>
                <w:b w:val="0"/>
                <w:i w:val="0"/>
                <w:color w:val="0D3856"/>
                <w:sz w:val="19"/>
              </w:rPr>
              <w:t>Track channel synchronization state.</w:t>
            </w:r>
          </w:p>
        </w:tc>
      </w:tr>
      <w:tr>
        <w:tc>
          <w:tcPr>
            <w:tcW w:type="dxa" w:w="1800"/>
            <w:shd w:fill="F7FAFC"/>
          </w:tcPr>
          <w:p>
            <w:r>
              <w:rPr>
                <w:rFonts w:ascii="Calibri" w:hAnsi="Calibri" w:eastAsia="Calibri"/>
                <w:b/>
                <w:i w:val="0"/>
                <w:color w:val="0D3856"/>
                <w:sz w:val="19"/>
              </w:rPr>
              <w:t>Config</w:t>
            </w:r>
          </w:p>
        </w:tc>
        <w:tc>
          <w:tcPr>
            <w:tcW w:type="dxa" w:w="3600"/>
          </w:tcPr>
          <w:p>
            <w:r>
              <w:rPr>
                <w:rFonts w:ascii="Calibri" w:hAnsi="Calibri" w:eastAsia="Calibri"/>
                <w:b w:val="0"/>
                <w:i w:val="0"/>
                <w:color w:val="0D3856"/>
                <w:sz w:val="19"/>
              </w:rPr>
              <w:t>AXISROOMS_MODE, base URL, username, password, API key, webhook secret</w:t>
            </w:r>
          </w:p>
        </w:tc>
        <w:tc>
          <w:tcPr>
            <w:tcW w:type="dxa" w:w="3960"/>
          </w:tcPr>
          <w:p>
            <w:r>
              <w:rPr>
                <w:rFonts w:ascii="Calibri" w:hAnsi="Calibri" w:eastAsia="Calibri"/>
                <w:b w:val="0"/>
                <w:i w:val="0"/>
                <w:color w:val="0D3856"/>
                <w:sz w:val="19"/>
              </w:rPr>
              <w:t>Environment-specific integration settings.</w:t>
            </w:r>
          </w:p>
        </w:tc>
      </w:tr>
    </w:tbl>
    <w:p>
      <w:pPr>
        <w:spacing w:after="0"/>
      </w:pPr>
    </w:p>
    <w:p>
      <w:pPr>
        <w:pStyle w:val="Heading1"/>
      </w:pPr>
      <w:r>
        <w:t>API contract</w:t>
      </w:r>
    </w:p>
    <w:tbl>
      <w:tblPr>
        <w:tblStyle w:val="TableGrid"/>
        <w:tblW w:type="dxa" w:w="9360"/>
        <w:jc w:val="center"/>
        <w:tblLayout w:type="fixed"/>
        <w:tblLook w:firstColumn="1" w:firstRow="1" w:lastColumn="0" w:lastRow="0" w:noHBand="0" w:noVBand="1" w:val="04A0"/>
        <w:tblInd w:w="120" w:type="dxa"/>
      </w:tblPr>
      <w:tblGrid>
        <w:gridCol w:w="1000"/>
        <w:gridCol w:w="3000"/>
        <w:gridCol w:w="5360"/>
      </w:tblGrid>
      <w:tr>
        <w:trPr>
          <w:tblHeader w:val="true"/>
        </w:trPr>
        <w:tc>
          <w:tcPr>
            <w:tcW w:type="dxa" w:w="1000"/>
            <w:vAlign w:val="top"/>
            <w:tcMar>
              <w:top w:w="80" w:type="dxa"/>
              <w:start w:w="120" w:type="dxa"/>
              <w:bottom w:w="80" w:type="dxa"/>
              <w:end w:w="120" w:type="dxa"/>
            </w:tcMar>
            <w:shd w:fill="0D3856"/>
          </w:tcPr>
          <w:p>
            <w:r>
              <w:rPr>
                <w:rFonts w:ascii="Calibri" w:hAnsi="Calibri" w:eastAsia="Calibri"/>
                <w:b/>
                <w:i w:val="0"/>
                <w:color w:val="FFFFFF"/>
                <w:sz w:val="19"/>
              </w:rPr>
              <w:t>Method</w:t>
            </w:r>
          </w:p>
        </w:tc>
        <w:tc>
          <w:tcPr>
            <w:tcW w:type="dxa" w:w="3000"/>
            <w:vAlign w:val="top"/>
            <w:tcMar>
              <w:top w:w="80" w:type="dxa"/>
              <w:start w:w="120" w:type="dxa"/>
              <w:bottom w:w="80" w:type="dxa"/>
              <w:end w:w="120" w:type="dxa"/>
            </w:tcMar>
            <w:shd w:fill="0D3856"/>
          </w:tcPr>
          <w:p>
            <w:r>
              <w:rPr>
                <w:rFonts w:ascii="Calibri" w:hAnsi="Calibri" w:eastAsia="Calibri"/>
                <w:b/>
                <w:i w:val="0"/>
                <w:color w:val="FFFFFF"/>
                <w:sz w:val="19"/>
              </w:rPr>
              <w:t>Path</w:t>
            </w:r>
          </w:p>
        </w:tc>
        <w:tc>
          <w:tcPr>
            <w:tcW w:type="dxa" w:w="5360"/>
            <w:vAlign w:val="top"/>
            <w:tcMar>
              <w:top w:w="80" w:type="dxa"/>
              <w:start w:w="120" w:type="dxa"/>
              <w:bottom w:w="80" w:type="dxa"/>
              <w:end w:w="120" w:type="dxa"/>
            </w:tcMar>
            <w:shd w:fill="0D3856"/>
          </w:tcPr>
          <w:p>
            <w:r>
              <w:rPr>
                <w:rFonts w:ascii="Calibri" w:hAnsi="Calibri" w:eastAsia="Calibri"/>
                <w:b/>
                <w:i w:val="0"/>
                <w:color w:val="FFFFFF"/>
                <w:sz w:val="19"/>
              </w:rPr>
              <w:t>Role in the module</w:t>
            </w:r>
          </w:p>
        </w:tc>
      </w:tr>
      <w:tr>
        <w:tc>
          <w:tcPr>
            <w:tcW w:type="dxa" w:w="1000"/>
            <w:shd w:fill="F7FAFC"/>
          </w:tcPr>
          <w:p>
            <w:r>
              <w:rPr>
                <w:rFonts w:ascii="Calibri" w:hAnsi="Calibri" w:eastAsia="Calibri"/>
                <w:b/>
                <w:i w:val="0"/>
                <w:color w:val="0D3856"/>
                <w:sz w:val="19"/>
              </w:rPr>
              <w:t>POST</w:t>
            </w:r>
          </w:p>
        </w:tc>
        <w:tc>
          <w:tcPr>
            <w:tcW w:type="dxa" w:w="3000"/>
          </w:tcPr>
          <w:p>
            <w:r>
              <w:rPr>
                <w:rFonts w:ascii="Calibri" w:hAnsi="Calibri" w:eastAsia="Calibri"/>
                <w:b w:val="0"/>
                <w:i w:val="0"/>
                <w:color w:val="0D3856"/>
                <w:sz w:val="19"/>
              </w:rPr>
              <w:t>/axisrooms/inbound/inventory</w:t>
            </w:r>
          </w:p>
        </w:tc>
        <w:tc>
          <w:tcPr>
            <w:tcW w:type="dxa" w:w="5360"/>
          </w:tcPr>
          <w:p>
            <w:r>
              <w:rPr>
                <w:rFonts w:ascii="Calibri" w:hAnsi="Calibri" w:eastAsia="Calibri"/>
                <w:b w:val="0"/>
                <w:i w:val="0"/>
                <w:color w:val="0D3856"/>
                <w:sz w:val="19"/>
              </w:rPr>
              <w:t>Receive inventory update payload.</w:t>
            </w:r>
          </w:p>
        </w:tc>
      </w:tr>
      <w:tr>
        <w:tc>
          <w:tcPr>
            <w:tcW w:type="dxa" w:w="1000"/>
            <w:shd w:fill="F7FAFC"/>
          </w:tcPr>
          <w:p>
            <w:r>
              <w:rPr>
                <w:rFonts w:ascii="Calibri" w:hAnsi="Calibri" w:eastAsia="Calibri"/>
                <w:b/>
                <w:i w:val="0"/>
                <w:color w:val="0D3856"/>
                <w:sz w:val="19"/>
              </w:rPr>
              <w:t>POST</w:t>
            </w:r>
          </w:p>
        </w:tc>
        <w:tc>
          <w:tcPr>
            <w:tcW w:type="dxa" w:w="3000"/>
          </w:tcPr>
          <w:p>
            <w:r>
              <w:rPr>
                <w:rFonts w:ascii="Calibri" w:hAnsi="Calibri" w:eastAsia="Calibri"/>
                <w:b w:val="0"/>
                <w:i w:val="0"/>
                <w:color w:val="0D3856"/>
                <w:sz w:val="19"/>
              </w:rPr>
              <w:t>/axisrooms/inbound/rates</w:t>
            </w:r>
          </w:p>
        </w:tc>
        <w:tc>
          <w:tcPr>
            <w:tcW w:type="dxa" w:w="5360"/>
          </w:tcPr>
          <w:p>
            <w:r>
              <w:rPr>
                <w:rFonts w:ascii="Calibri" w:hAnsi="Calibri" w:eastAsia="Calibri"/>
                <w:b w:val="0"/>
                <w:i w:val="0"/>
                <w:color w:val="0D3856"/>
                <w:sz w:val="19"/>
              </w:rPr>
              <w:t>Receive rate update payload.</w:t>
            </w:r>
          </w:p>
        </w:tc>
      </w:tr>
      <w:tr>
        <w:tc>
          <w:tcPr>
            <w:tcW w:type="dxa" w:w="1000"/>
            <w:shd w:fill="F7FAFC"/>
          </w:tcPr>
          <w:p>
            <w:r>
              <w:rPr>
                <w:rFonts w:ascii="Calibri" w:hAnsi="Calibri" w:eastAsia="Calibri"/>
                <w:b/>
                <w:i w:val="0"/>
                <w:color w:val="0D3856"/>
                <w:sz w:val="19"/>
              </w:rPr>
              <w:t>Internal</w:t>
            </w:r>
          </w:p>
        </w:tc>
        <w:tc>
          <w:tcPr>
            <w:tcW w:type="dxa" w:w="3000"/>
          </w:tcPr>
          <w:p>
            <w:r>
              <w:rPr>
                <w:rFonts w:ascii="Calibri" w:hAnsi="Calibri" w:eastAsia="Calibri"/>
                <w:b w:val="0"/>
                <w:i w:val="0"/>
                <w:color w:val="0D3856"/>
                <w:sz w:val="19"/>
              </w:rPr>
              <w:t>AXIS_BOOKING_PUSH outbox job</w:t>
            </w:r>
          </w:p>
        </w:tc>
        <w:tc>
          <w:tcPr>
            <w:tcW w:type="dxa" w:w="5360"/>
          </w:tcPr>
          <w:p>
            <w:r>
              <w:rPr>
                <w:rFonts w:ascii="Calibri" w:hAnsi="Calibri" w:eastAsia="Calibri"/>
                <w:b w:val="0"/>
                <w:i w:val="0"/>
                <w:color w:val="0D3856"/>
                <w:sz w:val="19"/>
              </w:rPr>
              <w:t>Queue reservation synchronization.</w:t>
            </w:r>
          </w:p>
        </w:tc>
      </w:tr>
      <w:tr>
        <w:tc>
          <w:tcPr>
            <w:tcW w:type="dxa" w:w="1000"/>
            <w:shd w:fill="F7FAFC"/>
          </w:tcPr>
          <w:p>
            <w:r>
              <w:rPr>
                <w:rFonts w:ascii="Calibri" w:hAnsi="Calibri" w:eastAsia="Calibri"/>
                <w:b/>
                <w:i w:val="0"/>
                <w:color w:val="0D3856"/>
                <w:sz w:val="19"/>
              </w:rPr>
              <w:t>Admin</w:t>
            </w:r>
          </w:p>
        </w:tc>
        <w:tc>
          <w:tcPr>
            <w:tcW w:type="dxa" w:w="3000"/>
          </w:tcPr>
          <w:p>
            <w:r>
              <w:rPr>
                <w:rFonts w:ascii="Calibri" w:hAnsi="Calibri" w:eastAsia="Calibri"/>
                <w:b w:val="0"/>
                <w:i w:val="0"/>
                <w:color w:val="0D3856"/>
                <w:sz w:val="19"/>
              </w:rPr>
              <w:t>AxisRooms page APIs</w:t>
            </w:r>
          </w:p>
        </w:tc>
        <w:tc>
          <w:tcPr>
            <w:tcW w:type="dxa" w:w="5360"/>
          </w:tcPr>
          <w:p>
            <w:r>
              <w:rPr>
                <w:rFonts w:ascii="Calibri" w:hAnsi="Calibri" w:eastAsia="Calibri"/>
                <w:b w:val="0"/>
                <w:i w:val="0"/>
                <w:color w:val="0D3856"/>
                <w:sz w:val="19"/>
              </w:rPr>
              <w:t>Inspect logs and retry state where implemented.</w:t>
            </w:r>
          </w:p>
        </w:tc>
      </w:tr>
    </w:tbl>
    <w:p>
      <w:pPr>
        <w:spacing w:after="0"/>
      </w:pPr>
    </w:p>
    <w:p>
      <w:pPr>
        <w:pStyle w:val="Heading1"/>
      </w:pPr>
      <w:r>
        <w:t>Data model</w:t>
      </w:r>
    </w:p>
    <w:tbl>
      <w:tblPr>
        <w:tblStyle w:val="TableGrid"/>
        <w:tblW w:type="dxa" w:w="9360"/>
        <w:jc w:val="center"/>
        <w:tblLayout w:type="fixed"/>
        <w:tblLook w:firstColumn="1" w:firstRow="1" w:lastColumn="0" w:lastRow="0" w:noHBand="0" w:noVBand="1" w:val="04A0"/>
        <w:tblInd w:w="120" w:type="dxa"/>
      </w:tblPr>
      <w:tblGrid>
        <w:gridCol w:w="1800"/>
        <w:gridCol w:w="3900"/>
        <w:gridCol w:w="3660"/>
      </w:tblGrid>
      <w:tr>
        <w:trPr>
          <w:tblHeader w:val="true"/>
        </w:trPr>
        <w:tc>
          <w:tcPr>
            <w:tcW w:type="dxa" w:w="1800"/>
            <w:vAlign w:val="top"/>
            <w:tcMar>
              <w:top w:w="80" w:type="dxa"/>
              <w:start w:w="120" w:type="dxa"/>
              <w:bottom w:w="80" w:type="dxa"/>
              <w:end w:w="120" w:type="dxa"/>
            </w:tcMar>
            <w:shd w:fill="0D3856"/>
          </w:tcPr>
          <w:p>
            <w:r>
              <w:rPr>
                <w:rFonts w:ascii="Calibri" w:hAnsi="Calibri" w:eastAsia="Calibri"/>
                <w:b/>
                <w:i w:val="0"/>
                <w:color w:val="FFFFFF"/>
                <w:sz w:val="19"/>
              </w:rPr>
              <w:t>Entity</w:t>
            </w:r>
          </w:p>
        </w:tc>
        <w:tc>
          <w:tcPr>
            <w:tcW w:type="dxa" w:w="3900"/>
            <w:vAlign w:val="top"/>
            <w:tcMar>
              <w:top w:w="80" w:type="dxa"/>
              <w:start w:w="120" w:type="dxa"/>
              <w:bottom w:w="80" w:type="dxa"/>
              <w:end w:w="120" w:type="dxa"/>
            </w:tcMar>
            <w:shd w:fill="0D3856"/>
          </w:tcPr>
          <w:p>
            <w:r>
              <w:rPr>
                <w:rFonts w:ascii="Calibri" w:hAnsi="Calibri" w:eastAsia="Calibri"/>
                <w:b/>
                <w:i w:val="0"/>
                <w:color w:val="FFFFFF"/>
                <w:sz w:val="19"/>
              </w:rPr>
              <w:t>Fields / relationships observed</w:t>
            </w:r>
          </w:p>
        </w:tc>
        <w:tc>
          <w:tcPr>
            <w:tcW w:type="dxa" w:w="3660"/>
            <w:vAlign w:val="top"/>
            <w:tcMar>
              <w:top w:w="80" w:type="dxa"/>
              <w:start w:w="120" w:type="dxa"/>
              <w:bottom w:w="80" w:type="dxa"/>
              <w:end w:w="120" w:type="dxa"/>
            </w:tcMar>
            <w:shd w:fill="0D3856"/>
          </w:tcPr>
          <w:p>
            <w:r>
              <w:rPr>
                <w:rFonts w:ascii="Calibri" w:hAnsi="Calibri" w:eastAsia="Calibri"/>
                <w:b/>
                <w:i w:val="0"/>
                <w:color w:val="FFFFFF"/>
                <w:sz w:val="19"/>
              </w:rPr>
              <w:t>Reason it exists</w:t>
            </w:r>
          </w:p>
        </w:tc>
      </w:tr>
      <w:tr>
        <w:tc>
          <w:tcPr>
            <w:tcW w:type="dxa" w:w="1800"/>
            <w:shd w:fill="F7FAFC"/>
          </w:tcPr>
          <w:p>
            <w:r>
              <w:rPr>
                <w:rFonts w:ascii="Calibri" w:hAnsi="Calibri" w:eastAsia="Calibri"/>
                <w:b/>
                <w:i w:val="0"/>
                <w:color w:val="0D3856"/>
                <w:sz w:val="19"/>
              </w:rPr>
              <w:t>AxisSyncLog</w:t>
            </w:r>
          </w:p>
        </w:tc>
        <w:tc>
          <w:tcPr>
            <w:tcW w:type="dxa" w:w="3900"/>
          </w:tcPr>
          <w:p>
            <w:r>
              <w:rPr>
                <w:rFonts w:ascii="Calibri" w:hAnsi="Calibri" w:eastAsia="Calibri"/>
                <w:b w:val="0"/>
                <w:i w:val="0"/>
                <w:color w:val="0D3856"/>
                <w:sz w:val="19"/>
              </w:rPr>
              <w:t>direction, entity, status, request/response metadata</w:t>
            </w:r>
          </w:p>
        </w:tc>
        <w:tc>
          <w:tcPr>
            <w:tcW w:type="dxa" w:w="3660"/>
          </w:tcPr>
          <w:p>
            <w:r>
              <w:rPr>
                <w:rFonts w:ascii="Calibri" w:hAnsi="Calibri" w:eastAsia="Calibri"/>
                <w:b w:val="0"/>
                <w:i w:val="0"/>
                <w:color w:val="0D3856"/>
                <w:sz w:val="19"/>
              </w:rPr>
              <w:t>Trace synchronization attempts.</w:t>
            </w:r>
          </w:p>
        </w:tc>
      </w:tr>
      <w:tr>
        <w:tc>
          <w:tcPr>
            <w:tcW w:type="dxa" w:w="1800"/>
            <w:shd w:fill="F7FAFC"/>
          </w:tcPr>
          <w:p>
            <w:r>
              <w:rPr>
                <w:rFonts w:ascii="Calibri" w:hAnsi="Calibri" w:eastAsia="Calibri"/>
                <w:b/>
                <w:i w:val="0"/>
                <w:color w:val="0D3856"/>
                <w:sz w:val="19"/>
              </w:rPr>
              <w:t>Reservation</w:t>
            </w:r>
          </w:p>
        </w:tc>
        <w:tc>
          <w:tcPr>
            <w:tcW w:type="dxa" w:w="3900"/>
          </w:tcPr>
          <w:p>
            <w:r>
              <w:rPr>
                <w:rFonts w:ascii="Calibri" w:hAnsi="Calibri" w:eastAsia="Calibri"/>
                <w:b w:val="0"/>
                <w:i w:val="0"/>
                <w:color w:val="0D3856"/>
                <w:sz w:val="19"/>
              </w:rPr>
              <w:t>syncStatus and version</w:t>
            </w:r>
          </w:p>
        </w:tc>
        <w:tc>
          <w:tcPr>
            <w:tcW w:type="dxa" w:w="3660"/>
          </w:tcPr>
          <w:p>
            <w:r>
              <w:rPr>
                <w:rFonts w:ascii="Calibri" w:hAnsi="Calibri" w:eastAsia="Calibri"/>
                <w:b w:val="0"/>
                <w:i w:val="0"/>
                <w:color w:val="0D3856"/>
                <w:sz w:val="19"/>
              </w:rPr>
              <w:t>Track whether confirmed bookings reached the channel.</w:t>
            </w:r>
          </w:p>
        </w:tc>
      </w:tr>
      <w:tr>
        <w:tc>
          <w:tcPr>
            <w:tcW w:type="dxa" w:w="1800"/>
            <w:shd w:fill="F7FAFC"/>
          </w:tcPr>
          <w:p>
            <w:r>
              <w:rPr>
                <w:rFonts w:ascii="Calibri" w:hAnsi="Calibri" w:eastAsia="Calibri"/>
                <w:b/>
                <w:i w:val="0"/>
                <w:color w:val="0D3856"/>
                <w:sz w:val="19"/>
              </w:rPr>
              <w:t>OutboxJob</w:t>
            </w:r>
          </w:p>
        </w:tc>
        <w:tc>
          <w:tcPr>
            <w:tcW w:type="dxa" w:w="3900"/>
          </w:tcPr>
          <w:p>
            <w:r>
              <w:rPr>
                <w:rFonts w:ascii="Calibri" w:hAnsi="Calibri" w:eastAsia="Calibri"/>
                <w:b w:val="0"/>
                <w:i w:val="0"/>
                <w:color w:val="0D3856"/>
                <w:sz w:val="19"/>
              </w:rPr>
              <w:t>type, payload, retry, idempotency</w:t>
            </w:r>
          </w:p>
        </w:tc>
        <w:tc>
          <w:tcPr>
            <w:tcW w:type="dxa" w:w="3660"/>
          </w:tcPr>
          <w:p>
            <w:r>
              <w:rPr>
                <w:rFonts w:ascii="Calibri" w:hAnsi="Calibri" w:eastAsia="Calibri"/>
                <w:b w:val="0"/>
                <w:i w:val="0"/>
                <w:color w:val="0D3856"/>
                <w:sz w:val="19"/>
              </w:rPr>
              <w:t>Reliable asynchronous push boundary.</w:t>
            </w:r>
          </w:p>
        </w:tc>
      </w:tr>
      <w:tr>
        <w:tc>
          <w:tcPr>
            <w:tcW w:type="dxa" w:w="1800"/>
            <w:shd w:fill="F7FAFC"/>
          </w:tcPr>
          <w:p>
            <w:r>
              <w:rPr>
                <w:rFonts w:ascii="Calibri" w:hAnsi="Calibri" w:eastAsia="Calibri"/>
                <w:b/>
                <w:i w:val="0"/>
                <w:color w:val="0D3856"/>
                <w:sz w:val="19"/>
              </w:rPr>
              <w:t>Room/rate/inventory</w:t>
            </w:r>
          </w:p>
        </w:tc>
        <w:tc>
          <w:tcPr>
            <w:tcW w:type="dxa" w:w="3900"/>
          </w:tcPr>
          <w:p>
            <w:r>
              <w:rPr>
                <w:rFonts w:ascii="Calibri" w:hAnsi="Calibri" w:eastAsia="Calibri"/>
                <w:b w:val="0"/>
                <w:i w:val="0"/>
                <w:color w:val="0D3856"/>
                <w:sz w:val="19"/>
              </w:rPr>
              <w:t>mapped IDs and date values</w:t>
            </w:r>
          </w:p>
        </w:tc>
        <w:tc>
          <w:tcPr>
            <w:tcW w:type="dxa" w:w="3660"/>
          </w:tcPr>
          <w:p>
            <w:r>
              <w:rPr>
                <w:rFonts w:ascii="Calibri" w:hAnsi="Calibri" w:eastAsia="Calibri"/>
                <w:b w:val="0"/>
                <w:i w:val="0"/>
                <w:color w:val="0D3856"/>
                <w:sz w:val="19"/>
              </w:rPr>
              <w:t>Translate internal catalog to channel concepts.</w:t>
            </w:r>
          </w:p>
        </w:tc>
      </w:tr>
    </w:tbl>
    <w:p>
      <w:pPr>
        <w:spacing w:after="0"/>
      </w:pPr>
    </w:p>
    <w:p>
      <w:pPr>
        <w:pStyle w:val="Heading1"/>
      </w:pPr>
      <w:r>
        <w:t>Primary workflow</w:t>
      </w:r>
    </w:p>
    <w:p>
      <w:pPr>
        <w:pStyle w:val="ListNumber"/>
      </w:pPr>
      <w:r>
        <w:rPr>
          <w:rFonts w:ascii="Calibri" w:hAnsi="Calibri" w:eastAsia="Calibri"/>
          <w:b w:val="0"/>
          <w:i w:val="0"/>
          <w:color w:val="0D3856"/>
          <w:sz w:val="21"/>
        </w:rPr>
        <w:t>Channel sends an inbound inventory or rate payload.</w:t>
      </w:r>
    </w:p>
    <w:p>
      <w:pPr>
        <w:pStyle w:val="ListNumber"/>
      </w:pPr>
      <w:r>
        <w:rPr>
          <w:rFonts w:ascii="Calibri" w:hAnsi="Calibri" w:eastAsia="Calibri"/>
          <w:b w:val="0"/>
          <w:i w:val="0"/>
          <w:color w:val="0D3856"/>
          <w:sz w:val="21"/>
        </w:rPr>
        <w:t>Adapter validates and maps external identifiers to RainWood records.</w:t>
      </w:r>
    </w:p>
    <w:p>
      <w:pPr>
        <w:pStyle w:val="ListNumber"/>
      </w:pPr>
      <w:r>
        <w:rPr>
          <w:rFonts w:ascii="Calibri" w:hAnsi="Calibri" w:eastAsia="Calibri"/>
          <w:b w:val="0"/>
          <w:i w:val="0"/>
          <w:color w:val="0D3856"/>
          <w:sz w:val="21"/>
        </w:rPr>
        <w:t>Service applies the update and writes sync/audit details.</w:t>
      </w:r>
    </w:p>
    <w:p>
      <w:pPr>
        <w:pStyle w:val="ListNumber"/>
      </w:pPr>
      <w:r>
        <w:rPr>
          <w:rFonts w:ascii="Calibri" w:hAnsi="Calibri" w:eastAsia="Calibri"/>
          <w:b w:val="0"/>
          <w:i w:val="0"/>
          <w:color w:val="0D3856"/>
          <w:sz w:val="21"/>
        </w:rPr>
        <w:t>Confirmed reservations create outbox work for channel push.</w:t>
      </w:r>
    </w:p>
    <w:p>
      <w:pPr>
        <w:pStyle w:val="ListNumber"/>
      </w:pPr>
      <w:r>
        <w:rPr>
          <w:rFonts w:ascii="Calibri" w:hAnsi="Calibri" w:eastAsia="Calibri"/>
          <w:b w:val="0"/>
          <w:i w:val="0"/>
          <w:color w:val="0D3856"/>
          <w:sz w:val="21"/>
        </w:rPr>
        <w:t>Failures retry or move to dead-letter/reconciliation for staff action.</w:t>
      </w:r>
    </w:p>
    <w:p>
      <w:pPr>
        <w:pStyle w:val="Heading1"/>
      </w:pPr>
      <w:r>
        <w:t>Access and permissions</w:t>
      </w:r>
    </w:p>
    <w:p>
      <w:pPr>
        <w:pStyle w:val="ListBullet"/>
      </w:pPr>
      <w:r>
        <w:rPr>
          <w:rFonts w:ascii="Calibri" w:hAnsi="Calibri" w:eastAsia="Calibri"/>
          <w:b w:val="0"/>
          <w:i w:val="0"/>
          <w:color w:val="0D3856"/>
          <w:sz w:val="21"/>
        </w:rPr>
        <w:t>Inbound endpoints must authenticate/sign requests according to the provider contract.</w:t>
      </w:r>
    </w:p>
    <w:p>
      <w:pPr>
        <w:pStyle w:val="ListBullet"/>
      </w:pPr>
      <w:r>
        <w:rPr>
          <w:rFonts w:ascii="Calibri" w:hAnsi="Calibri" w:eastAsia="Calibri"/>
          <w:b w:val="0"/>
          <w:i w:val="0"/>
          <w:color w:val="0D3856"/>
          <w:sz w:val="21"/>
        </w:rPr>
        <w:t>Admin sync views should be protected and should not expose secrets.</w:t>
      </w:r>
    </w:p>
    <w:p>
      <w:pPr>
        <w:pStyle w:val="ListBullet"/>
      </w:pPr>
      <w:r>
        <w:rPr>
          <w:rFonts w:ascii="Calibri" w:hAnsi="Calibri" w:eastAsia="Calibri"/>
          <w:b w:val="0"/>
          <w:i w:val="0"/>
          <w:color w:val="0D3856"/>
          <w:sz w:val="21"/>
        </w:rPr>
        <w:t>Only mapped active room/rate records should be synchronized.</w:t>
      </w:r>
    </w:p>
    <w:p>
      <w:pPr>
        <w:pStyle w:val="Heading1"/>
      </w:pPr>
      <w:r>
        <w:t>Risks, boundaries, and implementation notes</w:t>
      </w:r>
    </w:p>
    <w:p>
      <w:pPr>
        <w:pStyle w:val="ListBullet"/>
      </w:pPr>
      <w:r>
        <w:rPr>
          <w:rFonts w:ascii="Calibri" w:hAnsi="Calibri" w:eastAsia="Calibri"/>
          <w:b w:val="0"/>
          <w:i w:val="0"/>
          <w:color w:val="0D3856"/>
          <w:sz w:val="21"/>
        </w:rPr>
        <w:t>The repository states that official AxisRooms certification/specification remains external.</w:t>
      </w:r>
    </w:p>
    <w:p>
      <w:pPr>
        <w:pStyle w:val="ListBullet"/>
      </w:pPr>
      <w:r>
        <w:rPr>
          <w:rFonts w:ascii="Calibri" w:hAnsi="Calibri" w:eastAsia="Calibri"/>
          <w:b w:val="0"/>
          <w:i w:val="0"/>
          <w:color w:val="0D3856"/>
          <w:sz w:val="21"/>
        </w:rPr>
        <w:t>Mock mode is a complete local path but not production certification.</w:t>
      </w:r>
    </w:p>
    <w:p>
      <w:pPr>
        <w:pStyle w:val="ListBullet"/>
      </w:pPr>
      <w:r>
        <w:rPr>
          <w:rFonts w:ascii="Calibri" w:hAnsi="Calibri" w:eastAsia="Calibri"/>
          <w:b w:val="0"/>
          <w:i w:val="0"/>
          <w:color w:val="0D3856"/>
          <w:sz w:val="21"/>
        </w:rPr>
        <w:t>Identifier mapping, retry semantics, and webhook verification require provider-specific tests.</w:t>
      </w:r>
    </w:p>
    <w:p>
      <w:pPr>
        <w:pStyle w:val="Heading1"/>
      </w:pPr>
      <w:r>
        <w:t>Recommended verification scenarios</w:t>
      </w:r>
    </w:p>
    <w:p>
      <w:pPr>
        <w:pStyle w:val="ListBullet"/>
      </w:pPr>
      <w:r>
        <w:rPr>
          <w:rFonts w:ascii="Calibri" w:hAnsi="Calibri" w:eastAsia="Calibri"/>
          <w:b w:val="0"/>
          <w:i w:val="0"/>
          <w:color w:val="0D3856"/>
          <w:sz w:val="21"/>
        </w:rPr>
        <w:t>Send a valid mock inventory payload and verify InventoryDay updates.</w:t>
      </w:r>
    </w:p>
    <w:p>
      <w:pPr>
        <w:pStyle w:val="ListBullet"/>
      </w:pPr>
      <w:r>
        <w:rPr>
          <w:rFonts w:ascii="Calibri" w:hAnsi="Calibri" w:eastAsia="Calibri"/>
          <w:b w:val="0"/>
          <w:i w:val="0"/>
          <w:color w:val="0D3856"/>
          <w:sz w:val="21"/>
        </w:rPr>
        <w:t>Send an unknown room/rate identifier and verify a clear failure log.</w:t>
      </w:r>
    </w:p>
    <w:p>
      <w:pPr>
        <w:pStyle w:val="ListBullet"/>
      </w:pPr>
      <w:r>
        <w:rPr>
          <w:rFonts w:ascii="Calibri" w:hAnsi="Calibri" w:eastAsia="Calibri"/>
          <w:b w:val="0"/>
          <w:i w:val="0"/>
          <w:color w:val="0D3856"/>
          <w:sz w:val="21"/>
        </w:rPr>
        <w:t>Create a confirmed reservation and verify an outbox job is queued.</w:t>
      </w:r>
    </w:p>
    <w:p>
      <w:pPr>
        <w:pStyle w:val="ListBullet"/>
      </w:pPr>
      <w:r>
        <w:rPr>
          <w:rFonts w:ascii="Calibri" w:hAnsi="Calibri" w:eastAsia="Calibri"/>
          <w:b w:val="0"/>
          <w:i w:val="0"/>
          <w:color w:val="0D3856"/>
          <w:sz w:val="21"/>
        </w:rPr>
        <w:t>Retry a failed sync and verify idempotency prevents duplicate application.</w:t>
      </w: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EF6EF"/>
          </w:tcPr>
          <w:p>
            <w:r>
              <w:rPr>
                <w:rFonts w:ascii="Calibri" w:hAnsi="Calibri" w:eastAsia="Calibri"/>
                <w:b/>
                <w:i w:val="0"/>
                <w:color w:val="0D3856"/>
                <w:sz w:val="20"/>
              </w:rPr>
              <w:t xml:space="preserve">Analyst conclusion  </w:t>
            </w:r>
            <w:r>
              <w:rPr>
                <w:rFonts w:ascii="Calibri" w:hAnsi="Calibri" w:eastAsia="Calibri"/>
                <w:b w:val="0"/>
                <w:i w:val="0"/>
                <w:color w:val="0D3856"/>
                <w:sz w:val="20"/>
              </w:rPr>
              <w:t>This document describes the behavior visible in the current repository. Any change to business rules, external credentials, tax policy, or production data should be reviewed against the API contract and deployment runbook.</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0758A"/>
        <w:sz w:val="16"/>
      </w:rPr>
      <w:t>RainWood Hotels  •  Technical and operational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i w:val="0"/>
        <w:color w:val="60758A"/>
        <w:sz w:val="17"/>
      </w:rPr>
      <w:t>RAINWOOD HOTELS  |  CODE-BASED MODULE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D385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D38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D385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0D3856"/>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0D3856"/>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