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Contact Requests</w:t>
      </w:r>
    </w:p>
    <w:p>
      <w:r>
        <w:rPr>
          <w:rFonts w:ascii="Calibri" w:hAnsi="Calibri" w:eastAsia="Calibri"/>
          <w:b w:val="0"/>
          <w:i w:val="0"/>
          <w:color w:val="2E74B5"/>
          <w:sz w:val="26"/>
        </w:rPr>
        <w:t>Public enquiries and staff follow-up queue</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Captures public contact requests and exposes them to staff for follow-up without mixing them into reservations.</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Contact Requests." title="Local RainWood UI screenshot: Contact Requests."/>
            <wp:cNvGraphicFramePr>
              <a:graphicFrameLocks noChangeAspect="1"/>
            </wp:cNvGraphicFramePr>
            <a:graphic>
              <a:graphicData uri="http://schemas.openxmlformats.org/drawingml/2006/picture">
                <pic:pic>
                  <pic:nvPicPr>
                    <pic:cNvPr id="0" name="contact-request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Contact Requests.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follow up on enquiries submitted by guests, agencies, or prospective customers.</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Requester</w:t>
            </w:r>
          </w:p>
        </w:tc>
        <w:tc>
          <w:tcPr>
            <w:tcW w:type="dxa" w:w="3900"/>
          </w:tcPr>
          <w:p>
            <w:r>
              <w:rPr>
                <w:rFonts w:ascii="Calibri" w:hAnsi="Calibri" w:eastAsia="Calibri"/>
                <w:b w:val="0"/>
                <w:i w:val="0"/>
                <w:color w:val="0D3856"/>
                <w:sz w:val="19"/>
              </w:rPr>
              <w:t>Name, email, mobile</w:t>
            </w:r>
          </w:p>
        </w:tc>
        <w:tc>
          <w:tcPr>
            <w:tcW w:type="dxa" w:w="3460"/>
          </w:tcPr>
          <w:p>
            <w:r>
              <w:rPr>
                <w:rFonts w:ascii="Calibri" w:hAnsi="Calibri" w:eastAsia="Calibri"/>
                <w:b w:val="0"/>
                <w:i w:val="0"/>
                <w:color w:val="0D3856"/>
                <w:sz w:val="19"/>
              </w:rPr>
              <w:t>Know who needs a response.</w:t>
            </w:r>
          </w:p>
        </w:tc>
      </w:tr>
      <w:tr>
        <w:tc>
          <w:tcPr>
            <w:tcW w:type="dxa" w:w="2100"/>
            <w:shd w:fill="F7FAFC"/>
          </w:tcPr>
          <w:p>
            <w:r>
              <w:rPr>
                <w:rFonts w:ascii="Calibri" w:hAnsi="Calibri" w:eastAsia="Calibri"/>
                <w:b/>
                <w:i w:val="0"/>
                <w:color w:val="0D3856"/>
                <w:sz w:val="19"/>
              </w:rPr>
              <w:t>Message</w:t>
            </w:r>
          </w:p>
        </w:tc>
        <w:tc>
          <w:tcPr>
            <w:tcW w:type="dxa" w:w="3900"/>
          </w:tcPr>
          <w:p>
            <w:r>
              <w:rPr>
                <w:rFonts w:ascii="Calibri" w:hAnsi="Calibri" w:eastAsia="Calibri"/>
                <w:b w:val="0"/>
                <w:i w:val="0"/>
                <w:color w:val="0D3856"/>
                <w:sz w:val="19"/>
              </w:rPr>
              <w:t>The enquiry or requested assistance</w:t>
            </w:r>
          </w:p>
        </w:tc>
        <w:tc>
          <w:tcPr>
            <w:tcW w:type="dxa" w:w="3460"/>
          </w:tcPr>
          <w:p>
            <w:r>
              <w:rPr>
                <w:rFonts w:ascii="Calibri" w:hAnsi="Calibri" w:eastAsia="Calibri"/>
                <w:b w:val="0"/>
                <w:i w:val="0"/>
                <w:color w:val="0D3856"/>
                <w:sz w:val="19"/>
              </w:rPr>
              <w:t>Understand what action is needed.</w:t>
            </w:r>
          </w:p>
        </w:tc>
      </w:tr>
      <w:tr>
        <w:tc>
          <w:tcPr>
            <w:tcW w:type="dxa" w:w="2100"/>
            <w:shd w:fill="F7FAFC"/>
          </w:tcPr>
          <w:p>
            <w:r>
              <w:rPr>
                <w:rFonts w:ascii="Calibri" w:hAnsi="Calibri" w:eastAsia="Calibri"/>
                <w:b/>
                <w:i w:val="0"/>
                <w:color w:val="0D3856"/>
                <w:sz w:val="19"/>
              </w:rPr>
              <w:t>Status</w:t>
            </w:r>
          </w:p>
        </w:tc>
        <w:tc>
          <w:tcPr>
            <w:tcW w:type="dxa" w:w="3900"/>
          </w:tcPr>
          <w:p>
            <w:r>
              <w:rPr>
                <w:rFonts w:ascii="Calibri" w:hAnsi="Calibri" w:eastAsia="Calibri"/>
                <w:b w:val="0"/>
                <w:i w:val="0"/>
                <w:color w:val="0D3856"/>
                <w:sz w:val="19"/>
              </w:rPr>
              <w:t>New, in progress, resolved</w:t>
            </w:r>
          </w:p>
        </w:tc>
        <w:tc>
          <w:tcPr>
            <w:tcW w:type="dxa" w:w="3460"/>
          </w:tcPr>
          <w:p>
            <w:r>
              <w:rPr>
                <w:rFonts w:ascii="Calibri" w:hAnsi="Calibri" w:eastAsia="Calibri"/>
                <w:b w:val="0"/>
                <w:i w:val="0"/>
                <w:color w:val="0D3856"/>
                <w:sz w:val="19"/>
              </w:rPr>
              <w:t>Prevent requests from being missed.</w:t>
            </w:r>
          </w:p>
        </w:tc>
      </w:tr>
      <w:tr>
        <w:tc>
          <w:tcPr>
            <w:tcW w:type="dxa" w:w="2100"/>
            <w:shd w:fill="F7FAFC"/>
          </w:tcPr>
          <w:p>
            <w:r>
              <w:rPr>
                <w:rFonts w:ascii="Calibri" w:hAnsi="Calibri" w:eastAsia="Calibri"/>
                <w:b/>
                <w:i w:val="0"/>
                <w:color w:val="0D3856"/>
                <w:sz w:val="19"/>
              </w:rPr>
              <w:t>Notes</w:t>
            </w:r>
          </w:p>
        </w:tc>
        <w:tc>
          <w:tcPr>
            <w:tcW w:type="dxa" w:w="3900"/>
          </w:tcPr>
          <w:p>
            <w:r>
              <w:rPr>
                <w:rFonts w:ascii="Calibri" w:hAnsi="Calibri" w:eastAsia="Calibri"/>
                <w:b w:val="0"/>
                <w:i w:val="0"/>
                <w:color w:val="0D3856"/>
                <w:sz w:val="19"/>
              </w:rPr>
              <w:t>Internal follow-up notes</w:t>
            </w:r>
          </w:p>
        </w:tc>
        <w:tc>
          <w:tcPr>
            <w:tcW w:type="dxa" w:w="3460"/>
          </w:tcPr>
          <w:p>
            <w:r>
              <w:rPr>
                <w:rFonts w:ascii="Calibri" w:hAnsi="Calibri" w:eastAsia="Calibri"/>
                <w:b w:val="0"/>
                <w:i w:val="0"/>
                <w:color w:val="0D3856"/>
                <w:sz w:val="19"/>
              </w:rPr>
              <w:t>Record the response or next action for staff.</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Public Contact page</w:t>
            </w:r>
          </w:p>
        </w:tc>
        <w:tc>
          <w:tcPr>
            <w:tcW w:type="dxa" w:w="6860"/>
          </w:tcPr>
          <w:p>
            <w:r>
              <w:rPr>
                <w:rFonts w:ascii="Calibri" w:hAnsi="Calibri" w:eastAsia="Calibri"/>
                <w:b w:val="0"/>
                <w:i w:val="0"/>
                <w:color w:val="0D3856"/>
                <w:sz w:val="19"/>
              </w:rPr>
              <w:t>Collect contact name, email, phone, and request message.</w:t>
            </w:r>
          </w:p>
        </w:tc>
      </w:tr>
      <w:tr>
        <w:tc>
          <w:tcPr>
            <w:tcW w:type="dxa" w:w="2500"/>
            <w:shd w:fill="F7FAFC"/>
          </w:tcPr>
          <w:p>
            <w:r>
              <w:rPr>
                <w:rFonts w:ascii="Calibri" w:hAnsi="Calibri" w:eastAsia="Calibri"/>
                <w:b/>
                <w:i w:val="0"/>
                <w:color w:val="0D3856"/>
                <w:sz w:val="19"/>
              </w:rPr>
              <w:t>Admin Contact Requests</w:t>
            </w:r>
          </w:p>
        </w:tc>
        <w:tc>
          <w:tcPr>
            <w:tcW w:type="dxa" w:w="6860"/>
          </w:tcPr>
          <w:p>
            <w:r>
              <w:rPr>
                <w:rFonts w:ascii="Calibri" w:hAnsi="Calibri" w:eastAsia="Calibri"/>
                <w:b w:val="0"/>
                <w:i w:val="0"/>
                <w:color w:val="0D3856"/>
                <w:sz w:val="19"/>
              </w:rPr>
              <w:t>List and review incoming enquiries.</w:t>
            </w:r>
          </w:p>
        </w:tc>
      </w:tr>
      <w:tr>
        <w:tc>
          <w:tcPr>
            <w:tcW w:type="dxa" w:w="2500"/>
            <w:shd w:fill="F7FAFC"/>
          </w:tcPr>
          <w:p>
            <w:r>
              <w:rPr>
                <w:rFonts w:ascii="Calibri" w:hAnsi="Calibri" w:eastAsia="Calibri"/>
                <w:b/>
                <w:i w:val="0"/>
                <w:color w:val="0D3856"/>
                <w:sz w:val="19"/>
              </w:rPr>
              <w:t>Email/logging</w:t>
            </w:r>
          </w:p>
        </w:tc>
        <w:tc>
          <w:tcPr>
            <w:tcW w:type="dxa" w:w="6860"/>
          </w:tcPr>
          <w:p>
            <w:r>
              <w:rPr>
                <w:rFonts w:ascii="Calibri" w:hAnsi="Calibri" w:eastAsia="Calibri"/>
                <w:b w:val="0"/>
                <w:i w:val="0"/>
                <w:color w:val="0D3856"/>
                <w:sz w:val="19"/>
              </w:rPr>
              <w:t>Use configured SMTP or log mode for outbound handling where enabled.</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frontend/src/app/contact/page.tsx; frontend/src/app/admin/contact-requests/page.tsx</w:t>
            </w:r>
          </w:p>
        </w:tc>
        <w:tc>
          <w:tcPr>
            <w:tcW w:type="dxa" w:w="3960"/>
          </w:tcPr>
          <w:p>
            <w:r>
              <w:rPr>
                <w:rFonts w:ascii="Calibri" w:hAnsi="Calibri" w:eastAsia="Calibri"/>
                <w:b w:val="0"/>
                <w:i w:val="0"/>
                <w:color w:val="0D3856"/>
                <w:sz w:val="19"/>
              </w:rPr>
              <w:t>Public form and staff queue.</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backend/src/modules/contact/contact.controller.ts; contact.service.ts</w:t>
            </w:r>
          </w:p>
        </w:tc>
        <w:tc>
          <w:tcPr>
            <w:tcW w:type="dxa" w:w="3960"/>
          </w:tcPr>
          <w:p>
            <w:r>
              <w:rPr>
                <w:rFonts w:ascii="Calibri" w:hAnsi="Calibri" w:eastAsia="Calibri"/>
                <w:b w:val="0"/>
                <w:i w:val="0"/>
                <w:color w:val="0D3856"/>
                <w:sz w:val="19"/>
              </w:rPr>
              <w:t>Create and list contact requests.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ContactRequest</w:t>
            </w:r>
          </w:p>
        </w:tc>
        <w:tc>
          <w:tcPr>
            <w:tcW w:type="dxa" w:w="3960"/>
          </w:tcPr>
          <w:p>
            <w:r>
              <w:rPr>
                <w:rFonts w:ascii="Calibri" w:hAnsi="Calibri" w:eastAsia="Calibri"/>
                <w:b w:val="0"/>
                <w:i w:val="0"/>
                <w:color w:val="0D3856"/>
                <w:sz w:val="19"/>
              </w:rPr>
              <w:t>Stores enquiry details and status metadata.</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/contact-requests</w:t>
            </w:r>
          </w:p>
        </w:tc>
        <w:tc>
          <w:tcPr>
            <w:tcW w:type="dxa" w:w="5360"/>
          </w:tcPr>
          <w:p>
            <w:r>
              <w:rPr>
                <w:rFonts w:ascii="Calibri" w:hAnsi="Calibri" w:eastAsia="Calibri"/>
                <w:b w:val="0"/>
                <w:i w:val="0"/>
                <w:color w:val="0D3856"/>
                <w:sz w:val="19"/>
              </w:rPr>
              <w:t>Create a public enquiry.</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/contact-requests</w:t>
            </w:r>
          </w:p>
        </w:tc>
        <w:tc>
          <w:tcPr>
            <w:tcW w:type="dxa" w:w="5360"/>
          </w:tcPr>
          <w:p>
            <w:r>
              <w:rPr>
                <w:rFonts w:ascii="Calibri" w:hAnsi="Calibri" w:eastAsia="Calibri"/>
                <w:b w:val="0"/>
                <w:i w:val="0"/>
                <w:color w:val="0D3856"/>
                <w:sz w:val="19"/>
              </w:rPr>
              <w:t>List requests for staff follow-up.</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ContactRequest</w:t>
            </w:r>
          </w:p>
        </w:tc>
        <w:tc>
          <w:tcPr>
            <w:tcW w:type="dxa" w:w="3900"/>
          </w:tcPr>
          <w:p>
            <w:r>
              <w:rPr>
                <w:rFonts w:ascii="Calibri" w:hAnsi="Calibri" w:eastAsia="Calibri"/>
                <w:b w:val="0"/>
                <w:i w:val="0"/>
                <w:color w:val="0D3856"/>
                <w:sz w:val="19"/>
              </w:rPr>
              <w:t>name, email, phone, message, status, timestamps</w:t>
            </w:r>
          </w:p>
        </w:tc>
        <w:tc>
          <w:tcPr>
            <w:tcW w:type="dxa" w:w="3660"/>
          </w:tcPr>
          <w:p>
            <w:r>
              <w:rPr>
                <w:rFonts w:ascii="Calibri" w:hAnsi="Calibri" w:eastAsia="Calibri"/>
                <w:b w:val="0"/>
                <w:i w:val="0"/>
                <w:color w:val="0D3856"/>
                <w:sz w:val="19"/>
              </w:rPr>
              <w:t>Separable enquiry record.</w:t>
            </w:r>
          </w:p>
        </w:tc>
      </w:tr>
      <w:tr>
        <w:tc>
          <w:tcPr>
            <w:tcW w:type="dxa" w:w="1800"/>
            <w:shd w:fill="F7FAFC"/>
          </w:tcPr>
          <w:p>
            <w:r>
              <w:rPr>
                <w:rFonts w:ascii="Calibri" w:hAnsi="Calibri" w:eastAsia="Calibri"/>
                <w:b/>
                <w:i w:val="0"/>
                <w:color w:val="0D3856"/>
                <w:sz w:val="19"/>
              </w:rPr>
              <w:t>Site settings</w:t>
            </w:r>
          </w:p>
        </w:tc>
        <w:tc>
          <w:tcPr>
            <w:tcW w:type="dxa" w:w="3900"/>
          </w:tcPr>
          <w:p>
            <w:r>
              <w:rPr>
                <w:rFonts w:ascii="Calibri" w:hAnsi="Calibri" w:eastAsia="Calibri"/>
                <w:b w:val="0"/>
                <w:i w:val="0"/>
                <w:color w:val="0D3856"/>
                <w:sz w:val="19"/>
              </w:rPr>
              <w:t>SMTP mode and sender configuration</w:t>
            </w:r>
          </w:p>
        </w:tc>
        <w:tc>
          <w:tcPr>
            <w:tcW w:type="dxa" w:w="3660"/>
          </w:tcPr>
          <w:p>
            <w:r>
              <w:rPr>
                <w:rFonts w:ascii="Calibri" w:hAnsi="Calibri" w:eastAsia="Calibri"/>
                <w:b w:val="0"/>
                <w:i w:val="0"/>
                <w:color w:val="0D3856"/>
                <w:sz w:val="19"/>
              </w:rPr>
              <w:t>Controls delivery behavior where configured.</w:t>
            </w:r>
          </w:p>
        </w:tc>
      </w:tr>
    </w:tbl>
    <w:p>
      <w:pPr>
        <w:spacing w:after="0"/>
      </w:pPr>
    </w:p>
    <w:p>
      <w:pPr>
        <w:pStyle w:val="Heading1"/>
      </w:pPr>
      <w:r>
        <w:t>Primary workflow</w:t>
      </w:r>
    </w:p>
    <w:p>
      <w:pPr>
        <w:pStyle w:val="ListNumber"/>
      </w:pPr>
      <w:r>
        <w:rPr>
          <w:rFonts w:ascii="Calibri" w:hAnsi="Calibri" w:eastAsia="Calibri"/>
          <w:b w:val="0"/>
          <w:i w:val="0"/>
          <w:color w:val="0D3856"/>
          <w:sz w:val="21"/>
        </w:rPr>
        <w:t>Visitor submits a contact form.</w:t>
      </w:r>
    </w:p>
    <w:p>
      <w:pPr>
        <w:pStyle w:val="ListNumber"/>
      </w:pPr>
      <w:r>
        <w:rPr>
          <w:rFonts w:ascii="Calibri" w:hAnsi="Calibri" w:eastAsia="Calibri"/>
          <w:b w:val="0"/>
          <w:i w:val="0"/>
          <w:color w:val="0D3856"/>
          <w:sz w:val="21"/>
        </w:rPr>
        <w:t>API validates and stores the request.</w:t>
      </w:r>
    </w:p>
    <w:p>
      <w:pPr>
        <w:pStyle w:val="ListNumber"/>
      </w:pPr>
      <w:r>
        <w:rPr>
          <w:rFonts w:ascii="Calibri" w:hAnsi="Calibri" w:eastAsia="Calibri"/>
          <w:b w:val="0"/>
          <w:i w:val="0"/>
          <w:color w:val="0D3856"/>
          <w:sz w:val="21"/>
        </w:rPr>
        <w:t>Staff opens the admin queue and follows up outside or through the configured messaging path.</w:t>
      </w:r>
    </w:p>
    <w:p>
      <w:pPr>
        <w:pStyle w:val="ListNumber"/>
      </w:pPr>
      <w:r>
        <w:rPr>
          <w:rFonts w:ascii="Calibri" w:hAnsi="Calibri" w:eastAsia="Calibri"/>
          <w:b w:val="0"/>
          <w:i w:val="0"/>
          <w:color w:val="0D3856"/>
          <w:sz w:val="21"/>
        </w:rPr>
        <w:t>Update status/handling according to the operational process.</w:t>
      </w:r>
    </w:p>
    <w:p>
      <w:pPr>
        <w:pStyle w:val="Heading1"/>
      </w:pPr>
      <w:r>
        <w:t>Access and permissions</w:t>
      </w:r>
    </w:p>
    <w:p>
      <w:pPr>
        <w:pStyle w:val="ListBullet"/>
      </w:pPr>
      <w:r>
        <w:rPr>
          <w:rFonts w:ascii="Calibri" w:hAnsi="Calibri" w:eastAsia="Calibri"/>
          <w:b w:val="0"/>
          <w:i w:val="0"/>
          <w:color w:val="0D3856"/>
          <w:sz w:val="21"/>
        </w:rPr>
        <w:t>Create is public; list is staff-protected.</w:t>
      </w:r>
    </w:p>
    <w:p>
      <w:pPr>
        <w:pStyle w:val="ListBullet"/>
      </w:pPr>
      <w:r>
        <w:rPr>
          <w:rFonts w:ascii="Calibri" w:hAnsi="Calibri" w:eastAsia="Calibri"/>
          <w:b w:val="0"/>
          <w:i w:val="0"/>
          <w:color w:val="0D3856"/>
          <w:sz w:val="21"/>
        </w:rPr>
        <w:t>Contact data should be visible only to staff with a business need.</w:t>
      </w:r>
    </w:p>
    <w:p>
      <w:pPr>
        <w:pStyle w:val="ListBullet"/>
      </w:pPr>
      <w:r>
        <w:rPr>
          <w:rFonts w:ascii="Calibri" w:hAnsi="Calibri" w:eastAsia="Calibri"/>
          <w:b w:val="0"/>
          <w:i w:val="0"/>
          <w:color w:val="0D3856"/>
          <w:sz w:val="21"/>
        </w:rPr>
        <w:t>Do not expose internal notes or request lists in public endpoints.</w:t>
      </w:r>
    </w:p>
    <w:p>
      <w:pPr>
        <w:pStyle w:val="Heading1"/>
      </w:pPr>
      <w:r>
        <w:t>Risks, boundaries, and implementation notes</w:t>
      </w:r>
    </w:p>
    <w:p>
      <w:pPr>
        <w:pStyle w:val="ListBullet"/>
      </w:pPr>
      <w:r>
        <w:rPr>
          <w:rFonts w:ascii="Calibri" w:hAnsi="Calibri" w:eastAsia="Calibri"/>
          <w:b w:val="0"/>
          <w:i w:val="0"/>
          <w:color w:val="0D3856"/>
          <w:sz w:val="21"/>
        </w:rPr>
        <w:t>Email delivery is dependent on SMTP configuration; local log mode is not delivery.</w:t>
      </w:r>
    </w:p>
    <w:p>
      <w:pPr>
        <w:pStyle w:val="ListBullet"/>
      </w:pPr>
      <w:r>
        <w:rPr>
          <w:rFonts w:ascii="Calibri" w:hAnsi="Calibri" w:eastAsia="Calibri"/>
          <w:b w:val="0"/>
          <w:i w:val="0"/>
          <w:color w:val="0D3856"/>
          <w:sz w:val="21"/>
        </w:rPr>
        <w:t>Anti-spam, rate limiting, and retention policy should be confirmed for production.</w:t>
      </w:r>
    </w:p>
    <w:p>
      <w:pPr>
        <w:pStyle w:val="ListBullet"/>
      </w:pPr>
      <w:r>
        <w:rPr>
          <w:rFonts w:ascii="Calibri" w:hAnsi="Calibri" w:eastAsia="Calibri"/>
          <w:b w:val="0"/>
          <w:i w:val="0"/>
          <w:color w:val="0D3856"/>
          <w:sz w:val="21"/>
        </w:rPr>
        <w:t>Contact requests may contain personal data and need retention controls.</w:t>
      </w:r>
    </w:p>
    <w:p>
      <w:pPr>
        <w:pStyle w:val="Heading1"/>
      </w:pPr>
      <w:r>
        <w:t>Recommended verification scenarios</w:t>
      </w:r>
    </w:p>
    <w:p>
      <w:pPr>
        <w:pStyle w:val="ListBullet"/>
      </w:pPr>
      <w:r>
        <w:rPr>
          <w:rFonts w:ascii="Calibri" w:hAnsi="Calibri" w:eastAsia="Calibri"/>
          <w:b w:val="0"/>
          <w:i w:val="0"/>
          <w:color w:val="0D3856"/>
          <w:sz w:val="21"/>
        </w:rPr>
        <w:t>Submit a valid enquiry and verify one stored request.</w:t>
      </w:r>
    </w:p>
    <w:p>
      <w:pPr>
        <w:pStyle w:val="ListBullet"/>
      </w:pPr>
      <w:r>
        <w:rPr>
          <w:rFonts w:ascii="Calibri" w:hAnsi="Calibri" w:eastAsia="Calibri"/>
          <w:b w:val="0"/>
          <w:i w:val="0"/>
          <w:color w:val="0D3856"/>
          <w:sz w:val="21"/>
        </w:rPr>
        <w:t>Submit invalid email or empty message and verify validation.</w:t>
      </w:r>
    </w:p>
    <w:p>
      <w:pPr>
        <w:pStyle w:val="ListBullet"/>
      </w:pPr>
      <w:r>
        <w:rPr>
          <w:rFonts w:ascii="Calibri" w:hAnsi="Calibri" w:eastAsia="Calibri"/>
          <w:b w:val="0"/>
          <w:i w:val="0"/>
          <w:color w:val="0D3856"/>
          <w:sz w:val="21"/>
        </w:rPr>
        <w:t>Open the staff queue as an unauthenticated user and verify access is denied.</w:t>
      </w:r>
    </w:p>
    <w:p>
      <w:pPr>
        <w:pStyle w:val="ListBullet"/>
      </w:pPr>
      <w:r>
        <w:rPr>
          <w:rFonts w:ascii="Calibri" w:hAnsi="Calibri" w:eastAsia="Calibri"/>
          <w:b w:val="0"/>
          <w:i w:val="0"/>
          <w:color w:val="0D3856"/>
          <w:sz w:val="21"/>
        </w:rPr>
        <w:t>Verify SMTP/log behavior in the target environment.</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