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Health and Metrics</w:t>
      </w:r>
    </w:p>
    <w:p>
      <w:r>
        <w:rPr>
          <w:rFonts w:ascii="Calibri" w:hAnsi="Calibri" w:eastAsia="Calibri"/>
          <w:b w:val="0"/>
          <w:i w:val="0"/>
          <w:color w:val="2E74B5"/>
          <w:sz w:val="26"/>
        </w:rPr>
        <w:t>Liveness, readiness, and Prometheus-style operational metrics</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Exposes lightweight operational signals so deployment and monitoring systems can distinguish a running process from a ready application.</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Related local UI evidence: the Reports surface consumes the same operational aggregates used by monitoring and metrics." title="Related local UI evidence: the Reports surface consumes the same operational aggregates used by monitoring and metrics."/>
            <wp:cNvGraphicFramePr>
              <a:graphicFrameLocks noChangeAspect="1"/>
            </wp:cNvGraphicFramePr>
            <a:graphic>
              <a:graphicData uri="http://schemas.openxmlformats.org/drawingml/2006/picture">
                <pic:pic>
                  <pic:nvPicPr>
                    <pic:cNvPr id="0" name="report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Related local UI evidence: the Reports surface consumes the same operational aggregates used by monitoring and metrics.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these technical endpoints and metrics to confirm that the application and its dependencies are healthy.</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Health status</w:t>
            </w:r>
          </w:p>
        </w:tc>
        <w:tc>
          <w:tcPr>
            <w:tcW w:type="dxa" w:w="3900"/>
          </w:tcPr>
          <w:p>
            <w:r>
              <w:rPr>
                <w:rFonts w:ascii="Calibri" w:hAnsi="Calibri" w:eastAsia="Calibri"/>
                <w:b w:val="0"/>
                <w:i w:val="0"/>
                <w:color w:val="0D3856"/>
                <w:sz w:val="19"/>
              </w:rPr>
              <w:t>Overall application readiness</w:t>
            </w:r>
          </w:p>
        </w:tc>
        <w:tc>
          <w:tcPr>
            <w:tcW w:type="dxa" w:w="3460"/>
          </w:tcPr>
          <w:p>
            <w:r>
              <w:rPr>
                <w:rFonts w:ascii="Calibri" w:hAnsi="Calibri" w:eastAsia="Calibri"/>
                <w:b w:val="0"/>
                <w:i w:val="0"/>
                <w:color w:val="0D3856"/>
                <w:sz w:val="19"/>
              </w:rPr>
              <w:t>Confirm the service can accept work.</w:t>
            </w:r>
          </w:p>
        </w:tc>
      </w:tr>
      <w:tr>
        <w:tc>
          <w:tcPr>
            <w:tcW w:type="dxa" w:w="2100"/>
            <w:shd w:fill="F7FAFC"/>
          </w:tcPr>
          <w:p>
            <w:r>
              <w:rPr>
                <w:rFonts w:ascii="Calibri" w:hAnsi="Calibri" w:eastAsia="Calibri"/>
                <w:b/>
                <w:i w:val="0"/>
                <w:color w:val="0D3856"/>
                <w:sz w:val="19"/>
              </w:rPr>
              <w:t>Database check</w:t>
            </w:r>
          </w:p>
        </w:tc>
        <w:tc>
          <w:tcPr>
            <w:tcW w:type="dxa" w:w="3900"/>
          </w:tcPr>
          <w:p>
            <w:r>
              <w:rPr>
                <w:rFonts w:ascii="Calibri" w:hAnsi="Calibri" w:eastAsia="Calibri"/>
                <w:b w:val="0"/>
                <w:i w:val="0"/>
                <w:color w:val="0D3856"/>
                <w:sz w:val="19"/>
              </w:rPr>
              <w:t>Database connectivity and response</w:t>
            </w:r>
          </w:p>
        </w:tc>
        <w:tc>
          <w:tcPr>
            <w:tcW w:type="dxa" w:w="3460"/>
          </w:tcPr>
          <w:p>
            <w:r>
              <w:rPr>
                <w:rFonts w:ascii="Calibri" w:hAnsi="Calibri" w:eastAsia="Calibri"/>
                <w:b w:val="0"/>
                <w:i w:val="0"/>
                <w:color w:val="0D3856"/>
                <w:sz w:val="19"/>
              </w:rPr>
              <w:t>Detect persistence problems.</w:t>
            </w:r>
          </w:p>
        </w:tc>
      </w:tr>
      <w:tr>
        <w:tc>
          <w:tcPr>
            <w:tcW w:type="dxa" w:w="2100"/>
            <w:shd w:fill="F7FAFC"/>
          </w:tcPr>
          <w:p>
            <w:r>
              <w:rPr>
                <w:rFonts w:ascii="Calibri" w:hAnsi="Calibri" w:eastAsia="Calibri"/>
                <w:b/>
                <w:i w:val="0"/>
                <w:color w:val="0D3856"/>
                <w:sz w:val="19"/>
              </w:rPr>
              <w:t>Metrics</w:t>
            </w:r>
          </w:p>
        </w:tc>
        <w:tc>
          <w:tcPr>
            <w:tcW w:type="dxa" w:w="3900"/>
          </w:tcPr>
          <w:p>
            <w:r>
              <w:rPr>
                <w:rFonts w:ascii="Calibri" w:hAnsi="Calibri" w:eastAsia="Calibri"/>
                <w:b w:val="0"/>
                <w:i w:val="0"/>
                <w:color w:val="0D3856"/>
                <w:sz w:val="19"/>
              </w:rPr>
              <w:t>Request, job, and operational counters</w:t>
            </w:r>
          </w:p>
        </w:tc>
        <w:tc>
          <w:tcPr>
            <w:tcW w:type="dxa" w:w="3460"/>
          </w:tcPr>
          <w:p>
            <w:r>
              <w:rPr>
                <w:rFonts w:ascii="Calibri" w:hAnsi="Calibri" w:eastAsia="Calibri"/>
                <w:b w:val="0"/>
                <w:i w:val="0"/>
                <w:color w:val="0D3856"/>
                <w:sz w:val="19"/>
              </w:rPr>
              <w:t>Spot errors, slowdowns, or growing queues.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Live check</w:t>
            </w:r>
          </w:p>
        </w:tc>
        <w:tc>
          <w:tcPr>
            <w:tcW w:type="dxa" w:w="6860"/>
          </w:tcPr>
          <w:p>
            <w:r>
              <w:rPr>
                <w:rFonts w:ascii="Calibri" w:hAnsi="Calibri" w:eastAsia="Calibri"/>
                <w:b w:val="0"/>
                <w:i w:val="0"/>
                <w:color w:val="0D3856"/>
                <w:sz w:val="19"/>
              </w:rPr>
              <w:t>Process liveness endpoint.</w:t>
            </w:r>
          </w:p>
        </w:tc>
      </w:tr>
      <w:tr>
        <w:tc>
          <w:tcPr>
            <w:tcW w:type="dxa" w:w="2500"/>
            <w:shd w:fill="F7FAFC"/>
          </w:tcPr>
          <w:p>
            <w:r>
              <w:rPr>
                <w:rFonts w:ascii="Calibri" w:hAnsi="Calibri" w:eastAsia="Calibri"/>
                <w:b/>
                <w:i w:val="0"/>
                <w:color w:val="0D3856"/>
                <w:sz w:val="19"/>
              </w:rPr>
              <w:t>Ready check</w:t>
            </w:r>
          </w:p>
        </w:tc>
        <w:tc>
          <w:tcPr>
            <w:tcW w:type="dxa" w:w="6860"/>
          </w:tcPr>
          <w:p>
            <w:r>
              <w:rPr>
                <w:rFonts w:ascii="Calibri" w:hAnsi="Calibri" w:eastAsia="Calibri"/>
                <w:b w:val="0"/>
                <w:i w:val="0"/>
                <w:color w:val="0D3856"/>
                <w:sz w:val="19"/>
              </w:rPr>
              <w:t>Dependency/readiness endpoint.</w:t>
            </w:r>
          </w:p>
        </w:tc>
      </w:tr>
      <w:tr>
        <w:tc>
          <w:tcPr>
            <w:tcW w:type="dxa" w:w="2500"/>
            <w:shd w:fill="F7FAFC"/>
          </w:tcPr>
          <w:p>
            <w:r>
              <w:rPr>
                <w:rFonts w:ascii="Calibri" w:hAnsi="Calibri" w:eastAsia="Calibri"/>
                <w:b/>
                <w:i w:val="0"/>
                <w:color w:val="0D3856"/>
                <w:sz w:val="19"/>
              </w:rPr>
              <w:t>Metrics</w:t>
            </w:r>
          </w:p>
        </w:tc>
        <w:tc>
          <w:tcPr>
            <w:tcW w:type="dxa" w:w="6860"/>
          </w:tcPr>
          <w:p>
            <w:r>
              <w:rPr>
                <w:rFonts w:ascii="Calibri" w:hAnsi="Calibri" w:eastAsia="Calibri"/>
                <w:b w:val="0"/>
                <w:i w:val="0"/>
                <w:color w:val="0D3856"/>
                <w:sz w:val="19"/>
              </w:rPr>
              <w:t>Prometheus-compatible metrics endpoint.</w:t>
            </w:r>
          </w:p>
        </w:tc>
      </w:tr>
      <w:tr>
        <w:tc>
          <w:tcPr>
            <w:tcW w:type="dxa" w:w="2500"/>
            <w:shd w:fill="F7FAFC"/>
          </w:tcPr>
          <w:p>
            <w:r>
              <w:rPr>
                <w:rFonts w:ascii="Calibri" w:hAnsi="Calibri" w:eastAsia="Calibri"/>
                <w:b/>
                <w:i w:val="0"/>
                <w:color w:val="0D3856"/>
                <w:sz w:val="19"/>
              </w:rPr>
              <w:t>Runbook</w:t>
            </w:r>
          </w:p>
        </w:tc>
        <w:tc>
          <w:tcPr>
            <w:tcW w:type="dxa" w:w="6860"/>
          </w:tcPr>
          <w:p>
            <w:r>
              <w:rPr>
                <w:rFonts w:ascii="Calibri" w:hAnsi="Calibri" w:eastAsia="Calibri"/>
                <w:b w:val="0"/>
                <w:i w:val="0"/>
                <w:color w:val="0D3856"/>
                <w:sz w:val="19"/>
              </w:rPr>
              <w:t>Operational checks for deployment and incident response.</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backend/src/modules/health/health.controller.ts; health.service.ts</w:t>
            </w:r>
          </w:p>
        </w:tc>
        <w:tc>
          <w:tcPr>
            <w:tcW w:type="dxa" w:w="3960"/>
          </w:tcPr>
          <w:p>
            <w:r>
              <w:rPr>
                <w:rFonts w:ascii="Calibri" w:hAnsi="Calibri" w:eastAsia="Calibri"/>
                <w:b w:val="0"/>
                <w:i w:val="0"/>
                <w:color w:val="0D3856"/>
                <w:sz w:val="19"/>
              </w:rPr>
              <w:t>Liveness, readiness, and metrics endpoints.</w:t>
            </w:r>
          </w:p>
        </w:tc>
      </w:tr>
      <w:tr>
        <w:tc>
          <w:tcPr>
            <w:tcW w:type="dxa" w:w="1800"/>
            <w:shd w:fill="F7FAFC"/>
          </w:tcPr>
          <w:p>
            <w:r>
              <w:rPr>
                <w:rFonts w:ascii="Calibri" w:hAnsi="Calibri" w:eastAsia="Calibri"/>
                <w:b/>
                <w:i w:val="0"/>
                <w:color w:val="0D3856"/>
                <w:sz w:val="19"/>
              </w:rPr>
              <w:t>Operations</w:t>
            </w:r>
          </w:p>
        </w:tc>
        <w:tc>
          <w:tcPr>
            <w:tcW w:type="dxa" w:w="3600"/>
          </w:tcPr>
          <w:p>
            <w:r>
              <w:rPr>
                <w:rFonts w:ascii="Calibri" w:hAnsi="Calibri" w:eastAsia="Calibri"/>
                <w:b w:val="0"/>
                <w:i w:val="0"/>
                <w:color w:val="0D3856"/>
                <w:sz w:val="19"/>
              </w:rPr>
              <w:t>docs/CODEX_RUNBOOK.md; PRODUCTION_READINESS_CHECKLIST.md</w:t>
            </w:r>
          </w:p>
        </w:tc>
        <w:tc>
          <w:tcPr>
            <w:tcW w:type="dxa" w:w="3960"/>
          </w:tcPr>
          <w:p>
            <w:r>
              <w:rPr>
                <w:rFonts w:ascii="Calibri" w:hAnsi="Calibri" w:eastAsia="Calibri"/>
                <w:b w:val="0"/>
                <w:i w:val="0"/>
                <w:color w:val="0D3856"/>
                <w:sz w:val="19"/>
              </w:rPr>
              <w:t>Deployment and verification guidance.</w:t>
            </w:r>
          </w:p>
        </w:tc>
      </w:tr>
      <w:tr>
        <w:tc>
          <w:tcPr>
            <w:tcW w:type="dxa" w:w="1800"/>
            <w:shd w:fill="F7FAFC"/>
          </w:tcPr>
          <w:p>
            <w:r>
              <w:rPr>
                <w:rFonts w:ascii="Calibri" w:hAnsi="Calibri" w:eastAsia="Calibri"/>
                <w:b/>
                <w:i w:val="0"/>
                <w:color w:val="0D3856"/>
                <w:sz w:val="19"/>
              </w:rPr>
              <w:t>Cross-cutting</w:t>
            </w:r>
          </w:p>
        </w:tc>
        <w:tc>
          <w:tcPr>
            <w:tcW w:type="dxa" w:w="3600"/>
          </w:tcPr>
          <w:p>
            <w:r>
              <w:rPr>
                <w:rFonts w:ascii="Calibri" w:hAnsi="Calibri" w:eastAsia="Calibri"/>
                <w:b w:val="0"/>
                <w:i w:val="0"/>
                <w:color w:val="0D3856"/>
                <w:sz w:val="19"/>
              </w:rPr>
              <w:t>prom-client and database checks</w:t>
            </w:r>
          </w:p>
        </w:tc>
        <w:tc>
          <w:tcPr>
            <w:tcW w:type="dxa" w:w="3960"/>
          </w:tcPr>
          <w:p>
            <w:r>
              <w:rPr>
                <w:rFonts w:ascii="Calibri" w:hAnsi="Calibri" w:eastAsia="Calibri"/>
                <w:b w:val="0"/>
                <w:i w:val="0"/>
                <w:color w:val="0D3856"/>
                <w:sz w:val="19"/>
              </w:rPr>
              <w:t>Collect runtime and service signals.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loading/error states</w:t>
            </w:r>
          </w:p>
        </w:tc>
        <w:tc>
          <w:tcPr>
            <w:tcW w:type="dxa" w:w="3960"/>
          </w:tcPr>
          <w:p>
            <w:r>
              <w:rPr>
                <w:rFonts w:ascii="Calibri" w:hAnsi="Calibri" w:eastAsia="Calibri"/>
                <w:b w:val="0"/>
                <w:i w:val="0"/>
                <w:color w:val="0D3856"/>
                <w:sz w:val="19"/>
              </w:rPr>
              <w:t>React surfaces show service failure to users.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/health/live</w:t>
            </w:r>
          </w:p>
        </w:tc>
        <w:tc>
          <w:tcPr>
            <w:tcW w:type="dxa" w:w="5360"/>
          </w:tcPr>
          <w:p>
            <w:r>
              <w:rPr>
                <w:rFonts w:ascii="Calibri" w:hAnsi="Calibri" w:eastAsia="Calibri"/>
                <w:b w:val="0"/>
                <w:i w:val="0"/>
                <w:color w:val="0D3856"/>
                <w:sz w:val="19"/>
              </w:rPr>
              <w:t>Process is alive.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/health/ready</w:t>
            </w:r>
          </w:p>
        </w:tc>
        <w:tc>
          <w:tcPr>
            <w:tcW w:type="dxa" w:w="5360"/>
          </w:tcPr>
          <w:p>
            <w:r>
              <w:rPr>
                <w:rFonts w:ascii="Calibri" w:hAnsi="Calibri" w:eastAsia="Calibri"/>
                <w:b w:val="0"/>
                <w:i w:val="0"/>
                <w:color w:val="0D3856"/>
                <w:sz w:val="19"/>
              </w:rPr>
              <w:t>Application dependencies are ready.</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/metrics</w:t>
            </w:r>
          </w:p>
        </w:tc>
        <w:tc>
          <w:tcPr>
            <w:tcW w:type="dxa" w:w="5360"/>
          </w:tcPr>
          <w:p>
            <w:r>
              <w:rPr>
                <w:rFonts w:ascii="Calibri" w:hAnsi="Calibri" w:eastAsia="Calibri"/>
                <w:b w:val="0"/>
                <w:i w:val="0"/>
                <w:color w:val="0D3856"/>
                <w:sz w:val="19"/>
              </w:rPr>
              <w:t>Metrics scrape endpoint.</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Health result</w:t>
            </w:r>
          </w:p>
        </w:tc>
        <w:tc>
          <w:tcPr>
            <w:tcW w:type="dxa" w:w="3900"/>
          </w:tcPr>
          <w:p>
            <w:r>
              <w:rPr>
                <w:rFonts w:ascii="Calibri" w:hAnsi="Calibri" w:eastAsia="Calibri"/>
                <w:b w:val="0"/>
                <w:i w:val="0"/>
                <w:color w:val="0D3856"/>
                <w:sz w:val="19"/>
              </w:rPr>
              <w:t>status and dependency checks</w:t>
            </w:r>
          </w:p>
        </w:tc>
        <w:tc>
          <w:tcPr>
            <w:tcW w:type="dxa" w:w="3660"/>
          </w:tcPr>
          <w:p>
            <w:r>
              <w:rPr>
                <w:rFonts w:ascii="Calibri" w:hAnsi="Calibri" w:eastAsia="Calibri"/>
                <w:b w:val="0"/>
                <w:i w:val="0"/>
                <w:color w:val="0D3856"/>
                <w:sz w:val="19"/>
              </w:rPr>
              <w:t>Machine-readable operational decision.</w:t>
            </w:r>
          </w:p>
        </w:tc>
      </w:tr>
      <w:tr>
        <w:tc>
          <w:tcPr>
            <w:tcW w:type="dxa" w:w="1800"/>
            <w:shd w:fill="F7FAFC"/>
          </w:tcPr>
          <w:p>
            <w:r>
              <w:rPr>
                <w:rFonts w:ascii="Calibri" w:hAnsi="Calibri" w:eastAsia="Calibri"/>
                <w:b/>
                <w:i w:val="0"/>
                <w:color w:val="0D3856"/>
                <w:sz w:val="19"/>
              </w:rPr>
              <w:t>Metrics</w:t>
            </w:r>
          </w:p>
        </w:tc>
        <w:tc>
          <w:tcPr>
            <w:tcW w:type="dxa" w:w="3900"/>
          </w:tcPr>
          <w:p>
            <w:r>
              <w:rPr>
                <w:rFonts w:ascii="Calibri" w:hAnsi="Calibri" w:eastAsia="Calibri"/>
                <w:b w:val="0"/>
                <w:i w:val="0"/>
                <w:color w:val="0D3856"/>
                <w:sz w:val="19"/>
              </w:rPr>
              <w:t>request/process/application counters</w:t>
            </w:r>
          </w:p>
        </w:tc>
        <w:tc>
          <w:tcPr>
            <w:tcW w:type="dxa" w:w="3660"/>
          </w:tcPr>
          <w:p>
            <w:r>
              <w:rPr>
                <w:rFonts w:ascii="Calibri" w:hAnsi="Calibri" w:eastAsia="Calibri"/>
                <w:b w:val="0"/>
                <w:i w:val="0"/>
                <w:color w:val="0D3856"/>
                <w:sz w:val="19"/>
              </w:rPr>
              <w:t>Monitoring and alerting inputs.</w:t>
            </w:r>
          </w:p>
        </w:tc>
      </w:tr>
      <w:tr>
        <w:tc>
          <w:tcPr>
            <w:tcW w:type="dxa" w:w="1800"/>
            <w:shd w:fill="F7FAFC"/>
          </w:tcPr>
          <w:p>
            <w:r>
              <w:rPr>
                <w:rFonts w:ascii="Calibri" w:hAnsi="Calibri" w:eastAsia="Calibri"/>
                <w:b/>
                <w:i w:val="0"/>
                <w:color w:val="0D3856"/>
                <w:sz w:val="19"/>
              </w:rPr>
              <w:t>Environment</w:t>
            </w:r>
          </w:p>
        </w:tc>
        <w:tc>
          <w:tcPr>
            <w:tcW w:type="dxa" w:w="3900"/>
          </w:tcPr>
          <w:p>
            <w:r>
              <w:rPr>
                <w:rFonts w:ascii="Calibri" w:hAnsi="Calibri" w:eastAsia="Calibri"/>
                <w:b w:val="0"/>
                <w:i w:val="0"/>
                <w:color w:val="0D3856"/>
                <w:sz w:val="19"/>
              </w:rPr>
              <w:t>database and service configuration</w:t>
            </w:r>
          </w:p>
        </w:tc>
        <w:tc>
          <w:tcPr>
            <w:tcW w:type="dxa" w:w="3660"/>
          </w:tcPr>
          <w:p>
            <w:r>
              <w:rPr>
                <w:rFonts w:ascii="Calibri" w:hAnsi="Calibri" w:eastAsia="Calibri"/>
                <w:b w:val="0"/>
                <w:i w:val="0"/>
                <w:color w:val="0D3856"/>
                <w:sz w:val="19"/>
              </w:rPr>
              <w:t>Determines readiness behavior.</w:t>
            </w:r>
          </w:p>
        </w:tc>
      </w:tr>
    </w:tbl>
    <w:p>
      <w:pPr>
        <w:spacing w:after="0"/>
      </w:pPr>
    </w:p>
    <w:p>
      <w:pPr>
        <w:pStyle w:val="Heading1"/>
      </w:pPr>
      <w:r>
        <w:t>Primary workflow</w:t>
      </w:r>
    </w:p>
    <w:p>
      <w:pPr>
        <w:pStyle w:val="ListNumber"/>
      </w:pPr>
      <w:r>
        <w:rPr>
          <w:rFonts w:ascii="Calibri" w:hAnsi="Calibri" w:eastAsia="Calibri"/>
          <w:b w:val="0"/>
          <w:i w:val="0"/>
          <w:color w:val="0D3856"/>
          <w:sz w:val="21"/>
        </w:rPr>
        <w:t>Load balancer or operator calls live check.</w:t>
      </w:r>
    </w:p>
    <w:p>
      <w:pPr>
        <w:pStyle w:val="ListNumber"/>
      </w:pPr>
      <w:r>
        <w:rPr>
          <w:rFonts w:ascii="Calibri" w:hAnsi="Calibri" w:eastAsia="Calibri"/>
          <w:b w:val="0"/>
          <w:i w:val="0"/>
          <w:color w:val="0D3856"/>
          <w:sz w:val="21"/>
        </w:rPr>
        <w:t>Deployment system calls ready check before routing traffic.</w:t>
      </w:r>
    </w:p>
    <w:p>
      <w:pPr>
        <w:pStyle w:val="ListNumber"/>
      </w:pPr>
      <w:r>
        <w:rPr>
          <w:rFonts w:ascii="Calibri" w:hAnsi="Calibri" w:eastAsia="Calibri"/>
          <w:b w:val="0"/>
          <w:i w:val="0"/>
          <w:color w:val="0D3856"/>
          <w:sz w:val="21"/>
        </w:rPr>
        <w:t>Monitoring scrapes metrics on an interval.</w:t>
      </w:r>
    </w:p>
    <w:p>
      <w:pPr>
        <w:pStyle w:val="ListNumber"/>
      </w:pPr>
      <w:r>
        <w:rPr>
          <w:rFonts w:ascii="Calibri" w:hAnsi="Calibri" w:eastAsia="Calibri"/>
          <w:b w:val="0"/>
          <w:i w:val="0"/>
          <w:color w:val="0D3856"/>
          <w:sz w:val="21"/>
        </w:rPr>
        <w:t>On failure, operator follows the runbook and checks logs/dependencies.</w:t>
      </w:r>
    </w:p>
    <w:p>
      <w:pPr>
        <w:pStyle w:val="Heading1"/>
      </w:pPr>
      <w:r>
        <w:t>Access and permissions</w:t>
      </w:r>
    </w:p>
    <w:p>
      <w:pPr>
        <w:pStyle w:val="ListBullet"/>
      </w:pPr>
      <w:r>
        <w:rPr>
          <w:rFonts w:ascii="Calibri" w:hAnsi="Calibri" w:eastAsia="Calibri"/>
          <w:b w:val="0"/>
          <w:i w:val="0"/>
          <w:color w:val="0D3856"/>
          <w:sz w:val="21"/>
        </w:rPr>
        <w:t>Health endpoints may be public to infrastructure but should not reveal secrets.</w:t>
      </w:r>
    </w:p>
    <w:p>
      <w:pPr>
        <w:pStyle w:val="ListBullet"/>
      </w:pPr>
      <w:r>
        <w:rPr>
          <w:rFonts w:ascii="Calibri" w:hAnsi="Calibri" w:eastAsia="Calibri"/>
          <w:b w:val="0"/>
          <w:i w:val="0"/>
          <w:color w:val="0D3856"/>
          <w:sz w:val="21"/>
        </w:rPr>
        <w:t>Metrics should avoid high-cardinality personal or reservation labels.</w:t>
      </w:r>
    </w:p>
    <w:p>
      <w:pPr>
        <w:pStyle w:val="ListBullet"/>
      </w:pPr>
      <w:r>
        <w:rPr>
          <w:rFonts w:ascii="Calibri" w:hAnsi="Calibri" w:eastAsia="Calibri"/>
          <w:b w:val="0"/>
          <w:i w:val="0"/>
          <w:color w:val="0D3856"/>
          <w:sz w:val="21"/>
        </w:rPr>
        <w:t>Admin users should not be required for liveness checks.</w:t>
      </w:r>
    </w:p>
    <w:p>
      <w:pPr>
        <w:pStyle w:val="Heading1"/>
      </w:pPr>
      <w:r>
        <w:t>Risks, boundaries, and implementation notes</w:t>
      </w:r>
    </w:p>
    <w:p>
      <w:pPr>
        <w:pStyle w:val="ListBullet"/>
      </w:pPr>
      <w:r>
        <w:rPr>
          <w:rFonts w:ascii="Calibri" w:hAnsi="Calibri" w:eastAsia="Calibri"/>
          <w:b w:val="0"/>
          <w:i w:val="0"/>
          <w:color w:val="0D3856"/>
          <w:sz w:val="21"/>
        </w:rPr>
        <w:t>A live process can still be unable to serve traffic; readiness must include important dependencies.</w:t>
      </w:r>
    </w:p>
    <w:p>
      <w:pPr>
        <w:pStyle w:val="ListBullet"/>
      </w:pPr>
      <w:r>
        <w:rPr>
          <w:rFonts w:ascii="Calibri" w:hAnsi="Calibri" w:eastAsia="Calibri"/>
          <w:b w:val="0"/>
          <w:i w:val="0"/>
          <w:color w:val="0D3856"/>
          <w:sz w:val="21"/>
        </w:rPr>
        <w:t>Metrics exposure should be restricted at the network layer where required.</w:t>
      </w:r>
    </w:p>
    <w:p>
      <w:pPr>
        <w:pStyle w:val="ListBullet"/>
      </w:pPr>
      <w:r>
        <w:rPr>
          <w:rFonts w:ascii="Calibri" w:hAnsi="Calibri" w:eastAsia="Calibri"/>
          <w:b w:val="0"/>
          <w:i w:val="0"/>
          <w:color w:val="0D3856"/>
          <w:sz w:val="21"/>
        </w:rPr>
        <w:t>Health checks need environment-specific timeout and alert thresholds.</w:t>
      </w:r>
    </w:p>
    <w:p>
      <w:pPr>
        <w:pStyle w:val="Heading1"/>
      </w:pPr>
      <w:r>
        <w:t>Recommended verification scenarios</w:t>
      </w:r>
    </w:p>
    <w:p>
      <w:pPr>
        <w:pStyle w:val="ListBullet"/>
      </w:pPr>
      <w:r>
        <w:rPr>
          <w:rFonts w:ascii="Calibri" w:hAnsi="Calibri" w:eastAsia="Calibri"/>
          <w:b w:val="0"/>
          <w:i w:val="0"/>
          <w:color w:val="0D3856"/>
          <w:sz w:val="21"/>
        </w:rPr>
        <w:t>Stop the backend and verify live/readiness failure behavior.</w:t>
      </w:r>
    </w:p>
    <w:p>
      <w:pPr>
        <w:pStyle w:val="ListBullet"/>
      </w:pPr>
      <w:r>
        <w:rPr>
          <w:rFonts w:ascii="Calibri" w:hAnsi="Calibri" w:eastAsia="Calibri"/>
          <w:b w:val="0"/>
          <w:i w:val="0"/>
          <w:color w:val="0D3856"/>
          <w:sz w:val="21"/>
        </w:rPr>
        <w:t>Break the database dependency and verify readiness changes.</w:t>
      </w:r>
    </w:p>
    <w:p>
      <w:pPr>
        <w:pStyle w:val="ListBullet"/>
      </w:pPr>
      <w:r>
        <w:rPr>
          <w:rFonts w:ascii="Calibri" w:hAnsi="Calibri" w:eastAsia="Calibri"/>
          <w:b w:val="0"/>
          <w:i w:val="0"/>
          <w:color w:val="0D3856"/>
          <w:sz w:val="21"/>
        </w:rPr>
        <w:t>Scrape metrics and verify valid response format.</w:t>
      </w:r>
    </w:p>
    <w:p>
      <w:pPr>
        <w:pStyle w:val="ListBullet"/>
      </w:pPr>
      <w:r>
        <w:rPr>
          <w:rFonts w:ascii="Calibri" w:hAnsi="Calibri" w:eastAsia="Calibri"/>
          <w:b w:val="0"/>
          <w:i w:val="0"/>
          <w:color w:val="0D3856"/>
          <w:sz w:val="21"/>
        </w:rPr>
        <w:t>Confirm health output contains no secrets or personal data.</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