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Payments</w:t>
      </w:r>
    </w:p>
    <w:p>
      <w:r>
        <w:rPr>
          <w:rFonts w:ascii="Calibri" w:hAnsi="Calibri" w:eastAsia="Calibri"/>
          <w:b w:val="0"/>
          <w:i w:val="0"/>
          <w:color w:val="2E74B5"/>
          <w:sz w:val="26"/>
        </w:rPr>
        <w:t>Payment orders, manual receipts, verification, and webhooks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Tracks payment attempts and payment state separately from the reservation, supporting online order creation, manual payment capture, verification, mock completion, and provider webhooks.</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Payments." title="Local RainWood UI screenshot: Payments."/>
            <wp:cNvGraphicFramePr>
              <a:graphicFrameLocks noChangeAspect="1"/>
            </wp:cNvGraphicFramePr>
            <a:graphic>
              <a:graphicData uri="http://schemas.openxmlformats.org/drawingml/2006/picture">
                <pic:pic>
                  <pic:nvPicPr>
                    <pic:cNvPr id="0" name="payment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Payments.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reconcile money received against reservations and identify outstanding or failed payments.</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Booking reference and guest</w:t>
            </w:r>
          </w:p>
        </w:tc>
        <w:tc>
          <w:tcPr>
            <w:tcW w:type="dxa" w:w="3460"/>
          </w:tcPr>
          <w:p>
            <w:r>
              <w:rPr>
                <w:rFonts w:ascii="Calibri" w:hAnsi="Calibri" w:eastAsia="Calibri"/>
                <w:b w:val="0"/>
                <w:i w:val="0"/>
                <w:color w:val="0D3856"/>
                <w:sz w:val="19"/>
              </w:rPr>
              <w:t>Connect the payment to the correct stay.</w:t>
            </w:r>
          </w:p>
        </w:tc>
      </w:tr>
      <w:tr>
        <w:tc>
          <w:tcPr>
            <w:tcW w:type="dxa" w:w="2100"/>
            <w:shd w:fill="F7FAFC"/>
          </w:tcPr>
          <w:p>
            <w:r>
              <w:rPr>
                <w:rFonts w:ascii="Calibri" w:hAnsi="Calibri" w:eastAsia="Calibri"/>
                <w:b/>
                <w:i w:val="0"/>
                <w:color w:val="0D3856"/>
                <w:sz w:val="19"/>
              </w:rPr>
              <w:t>Amount and currency</w:t>
            </w:r>
          </w:p>
        </w:tc>
        <w:tc>
          <w:tcPr>
            <w:tcW w:type="dxa" w:w="3900"/>
          </w:tcPr>
          <w:p>
            <w:r>
              <w:rPr>
                <w:rFonts w:ascii="Calibri" w:hAnsi="Calibri" w:eastAsia="Calibri"/>
                <w:b w:val="0"/>
                <w:i w:val="0"/>
                <w:color w:val="0D3856"/>
                <w:sz w:val="19"/>
              </w:rPr>
              <w:t>Paid value and currency</w:t>
            </w:r>
          </w:p>
        </w:tc>
        <w:tc>
          <w:tcPr>
            <w:tcW w:type="dxa" w:w="3460"/>
          </w:tcPr>
          <w:p>
            <w:r>
              <w:rPr>
                <w:rFonts w:ascii="Calibri" w:hAnsi="Calibri" w:eastAsia="Calibri"/>
                <w:b w:val="0"/>
                <w:i w:val="0"/>
                <w:color w:val="0D3856"/>
                <w:sz w:val="19"/>
              </w:rPr>
              <w:t>Record the financial value received.</w:t>
            </w:r>
          </w:p>
        </w:tc>
      </w:tr>
      <w:tr>
        <w:tc>
          <w:tcPr>
            <w:tcW w:type="dxa" w:w="2100"/>
            <w:shd w:fill="F7FAFC"/>
          </w:tcPr>
          <w:p>
            <w:r>
              <w:rPr>
                <w:rFonts w:ascii="Calibri" w:hAnsi="Calibri" w:eastAsia="Calibri"/>
                <w:b/>
                <w:i w:val="0"/>
                <w:color w:val="0D3856"/>
                <w:sz w:val="19"/>
              </w:rPr>
              <w:t>Method</w:t>
            </w:r>
          </w:p>
        </w:tc>
        <w:tc>
          <w:tcPr>
            <w:tcW w:type="dxa" w:w="3900"/>
          </w:tcPr>
          <w:p>
            <w:r>
              <w:rPr>
                <w:rFonts w:ascii="Calibri" w:hAnsi="Calibri" w:eastAsia="Calibri"/>
                <w:b w:val="0"/>
                <w:i w:val="0"/>
                <w:color w:val="0D3856"/>
                <w:sz w:val="19"/>
              </w:rPr>
              <w:t>Card, bank transfer, cash, or gateway</w:t>
            </w:r>
          </w:p>
        </w:tc>
        <w:tc>
          <w:tcPr>
            <w:tcW w:type="dxa" w:w="3460"/>
          </w:tcPr>
          <w:p>
            <w:r>
              <w:rPr>
                <w:rFonts w:ascii="Calibri" w:hAnsi="Calibri" w:eastAsia="Calibri"/>
                <w:b w:val="0"/>
                <w:i w:val="0"/>
                <w:color w:val="0D3856"/>
                <w:sz w:val="19"/>
              </w:rPr>
              <w:t>Explain how the money was collected.</w:t>
            </w:r>
          </w:p>
        </w:tc>
      </w:tr>
      <w:tr>
        <w:tc>
          <w:tcPr>
            <w:tcW w:type="dxa" w:w="2100"/>
            <w:shd w:fill="F7FAFC"/>
          </w:tcPr>
          <w:p>
            <w:r>
              <w:rPr>
                <w:rFonts w:ascii="Calibri" w:hAnsi="Calibri" w:eastAsia="Calibri"/>
                <w:b/>
                <w:i w:val="0"/>
                <w:color w:val="0D3856"/>
                <w:sz w:val="19"/>
              </w:rPr>
              <w:t>Status</w:t>
            </w:r>
          </w:p>
        </w:tc>
        <w:tc>
          <w:tcPr>
            <w:tcW w:type="dxa" w:w="3900"/>
          </w:tcPr>
          <w:p>
            <w:r>
              <w:rPr>
                <w:rFonts w:ascii="Calibri" w:hAnsi="Calibri" w:eastAsia="Calibri"/>
                <w:b w:val="0"/>
                <w:i w:val="0"/>
                <w:color w:val="0D3856"/>
                <w:sz w:val="19"/>
              </w:rPr>
              <w:t>Pending, verified, failed, refunded</w:t>
            </w:r>
          </w:p>
        </w:tc>
        <w:tc>
          <w:tcPr>
            <w:tcW w:type="dxa" w:w="3460"/>
          </w:tcPr>
          <w:p>
            <w:r>
              <w:rPr>
                <w:rFonts w:ascii="Calibri" w:hAnsi="Calibri" w:eastAsia="Calibri"/>
                <w:b w:val="0"/>
                <w:i w:val="0"/>
                <w:color w:val="0D3856"/>
                <w:sz w:val="19"/>
              </w:rPr>
              <w:t>Show whether the payment can be treated as received.</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payments</w:t>
            </w:r>
          </w:p>
        </w:tc>
        <w:tc>
          <w:tcPr>
            <w:tcW w:type="dxa" w:w="6860"/>
          </w:tcPr>
          <w:p>
            <w:r>
              <w:rPr>
                <w:rFonts w:ascii="Calibri" w:hAnsi="Calibri" w:eastAsia="Calibri"/>
                <w:b w:val="0"/>
                <w:i w:val="0"/>
                <w:color w:val="0D3856"/>
                <w:sz w:val="19"/>
              </w:rPr>
              <w:t>Review payment attempts and verify manual payments.</w:t>
            </w:r>
          </w:p>
        </w:tc>
      </w:tr>
      <w:tr>
        <w:tc>
          <w:tcPr>
            <w:tcW w:type="dxa" w:w="2500"/>
            <w:shd w:fill="F7FAFC"/>
          </w:tcPr>
          <w:p>
            <w:r>
              <w:rPr>
                <w:rFonts w:ascii="Calibri" w:hAnsi="Calibri" w:eastAsia="Calibri"/>
                <w:b/>
                <w:i w:val="0"/>
                <w:color w:val="0D3856"/>
                <w:sz w:val="19"/>
              </w:rPr>
              <w:t>Guest checkout</w:t>
            </w:r>
          </w:p>
        </w:tc>
        <w:tc>
          <w:tcPr>
            <w:tcW w:type="dxa" w:w="6860"/>
          </w:tcPr>
          <w:p>
            <w:r>
              <w:rPr>
                <w:rFonts w:ascii="Calibri" w:hAnsi="Calibri" w:eastAsia="Calibri"/>
                <w:b w:val="0"/>
                <w:i w:val="0"/>
                <w:color w:val="0D3856"/>
                <w:sz w:val="19"/>
              </w:rPr>
              <w:t>Start an online payment order for a reservation.</w:t>
            </w:r>
          </w:p>
        </w:tc>
      </w:tr>
      <w:tr>
        <w:tc>
          <w:tcPr>
            <w:tcW w:type="dxa" w:w="2500"/>
            <w:shd w:fill="F7FAFC"/>
          </w:tcPr>
          <w:p>
            <w:r>
              <w:rPr>
                <w:rFonts w:ascii="Calibri" w:hAnsi="Calibri" w:eastAsia="Calibri"/>
                <w:b/>
                <w:i w:val="0"/>
                <w:color w:val="0D3856"/>
                <w:sz w:val="19"/>
              </w:rPr>
              <w:t>Manual payment</w:t>
            </w:r>
          </w:p>
        </w:tc>
        <w:tc>
          <w:tcPr>
            <w:tcW w:type="dxa" w:w="6860"/>
          </w:tcPr>
          <w:p>
            <w:r>
              <w:rPr>
                <w:rFonts w:ascii="Calibri" w:hAnsi="Calibri" w:eastAsia="Calibri"/>
                <w:b w:val="0"/>
                <w:i w:val="0"/>
                <w:color w:val="0D3856"/>
                <w:sz w:val="19"/>
              </w:rPr>
              <w:t>Record cash, bank, or other staff-entered payment evidence.</w:t>
            </w:r>
          </w:p>
        </w:tc>
      </w:tr>
      <w:tr>
        <w:tc>
          <w:tcPr>
            <w:tcW w:type="dxa" w:w="2500"/>
            <w:shd w:fill="F7FAFC"/>
          </w:tcPr>
          <w:p>
            <w:r>
              <w:rPr>
                <w:rFonts w:ascii="Calibri" w:hAnsi="Calibri" w:eastAsia="Calibri"/>
                <w:b/>
                <w:i w:val="0"/>
                <w:color w:val="0D3856"/>
                <w:sz w:val="19"/>
              </w:rPr>
              <w:t>Provider webhook</w:t>
            </w:r>
          </w:p>
        </w:tc>
        <w:tc>
          <w:tcPr>
            <w:tcW w:type="dxa" w:w="6860"/>
          </w:tcPr>
          <w:p>
            <w:r>
              <w:rPr>
                <w:rFonts w:ascii="Calibri" w:hAnsi="Calibri" w:eastAsia="Calibri"/>
                <w:b w:val="0"/>
                <w:i w:val="0"/>
                <w:color w:val="0D3856"/>
                <w:sz w:val="19"/>
              </w:rPr>
              <w:t>Accept signed/idempotent payment status callbacks.</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frontend/src/app/admin/payments/page.tsx; components/BookingFlow.tsx</w:t>
            </w:r>
          </w:p>
        </w:tc>
        <w:tc>
          <w:tcPr>
            <w:tcW w:type="dxa" w:w="3960"/>
          </w:tcPr>
          <w:p>
            <w:r>
              <w:rPr>
                <w:rFonts w:ascii="Calibri" w:hAnsi="Calibri" w:eastAsia="Calibri"/>
                <w:b w:val="0"/>
                <w:i w:val="0"/>
                <w:color w:val="0D3856"/>
                <w:sz w:val="19"/>
              </w:rPr>
              <w:t>Payment operations and guest payment initiation.</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backend/src/modules/payments/payments.controller.ts; payments.service.ts</w:t>
            </w:r>
          </w:p>
        </w:tc>
        <w:tc>
          <w:tcPr>
            <w:tcW w:type="dxa" w:w="3960"/>
          </w:tcPr>
          <w:p>
            <w:r>
              <w:rPr>
                <w:rFonts w:ascii="Calibri" w:hAnsi="Calibri" w:eastAsia="Calibri"/>
                <w:b w:val="0"/>
                <w:i w:val="0"/>
                <w:color w:val="0D3856"/>
                <w:sz w:val="19"/>
              </w:rPr>
              <w:t>Order, manual, verify, mock, and webhook behavior.</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Payment, PaymentAttempt</w:t>
            </w:r>
          </w:p>
        </w:tc>
        <w:tc>
          <w:tcPr>
            <w:tcW w:type="dxa" w:w="3960"/>
          </w:tcPr>
          <w:p>
            <w:r>
              <w:rPr>
                <w:rFonts w:ascii="Calibri" w:hAnsi="Calibri" w:eastAsia="Calibri"/>
                <w:b w:val="0"/>
                <w:i w:val="0"/>
                <w:color w:val="0D3856"/>
                <w:sz w:val="19"/>
              </w:rPr>
              <w:t>Payment state, provider references, amounts, and attempts.</w:t>
            </w:r>
          </w:p>
        </w:tc>
      </w:tr>
      <w:tr>
        <w:tc>
          <w:tcPr>
            <w:tcW w:type="dxa" w:w="1800"/>
            <w:shd w:fill="F7FAFC"/>
          </w:tcPr>
          <w:p>
            <w:r>
              <w:rPr>
                <w:rFonts w:ascii="Calibri" w:hAnsi="Calibri" w:eastAsia="Calibri"/>
                <w:b/>
                <w:i w:val="0"/>
                <w:color w:val="0D3856"/>
                <w:sz w:val="19"/>
              </w:rPr>
              <w:t>Files</w:t>
            </w:r>
          </w:p>
        </w:tc>
        <w:tc>
          <w:tcPr>
            <w:tcW w:type="dxa" w:w="3600"/>
          </w:tcPr>
          <w:p>
            <w:r>
              <w:rPr>
                <w:rFonts w:ascii="Calibri" w:hAnsi="Calibri" w:eastAsia="Calibri"/>
                <w:b w:val="0"/>
                <w:i w:val="0"/>
                <w:color w:val="0D3856"/>
                <w:sz w:val="19"/>
              </w:rPr>
              <w:t>backend/src/modules/files/files.controller.ts</w:t>
            </w:r>
          </w:p>
        </w:tc>
        <w:tc>
          <w:tcPr>
            <w:tcW w:type="dxa" w:w="3960"/>
          </w:tcPr>
          <w:p>
            <w:r>
              <w:rPr>
                <w:rFonts w:ascii="Calibri" w:hAnsi="Calibri" w:eastAsia="Calibri"/>
                <w:b w:val="0"/>
                <w:i w:val="0"/>
                <w:color w:val="0D3856"/>
                <w:sz w:val="19"/>
              </w:rPr>
              <w:t>Payment-proof upload path for manual payment evidence.</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/payments/:reference/order</w:t>
            </w:r>
          </w:p>
        </w:tc>
        <w:tc>
          <w:tcPr>
            <w:tcW w:type="dxa" w:w="5360"/>
          </w:tcPr>
          <w:p>
            <w:r>
              <w:rPr>
                <w:rFonts w:ascii="Calibri" w:hAnsi="Calibri" w:eastAsia="Calibri"/>
                <w:b w:val="0"/>
                <w:i w:val="0"/>
                <w:color w:val="0D3856"/>
                <w:sz w:val="19"/>
              </w:rPr>
              <w:t>Create a provider payment order.</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/payments/:reference/manual</w:t>
            </w:r>
          </w:p>
        </w:tc>
        <w:tc>
          <w:tcPr>
            <w:tcW w:type="dxa" w:w="5360"/>
          </w:tcPr>
          <w:p>
            <w:r>
              <w:rPr>
                <w:rFonts w:ascii="Calibri" w:hAnsi="Calibri" w:eastAsia="Calibri"/>
                <w:b w:val="0"/>
                <w:i w:val="0"/>
                <w:color w:val="0D3856"/>
                <w:sz w:val="19"/>
              </w:rPr>
              <w:t>Record a manual payment.</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/payments/:reference/manual/:paymentId/verify</w:t>
            </w:r>
          </w:p>
        </w:tc>
        <w:tc>
          <w:tcPr>
            <w:tcW w:type="dxa" w:w="5360"/>
          </w:tcPr>
          <w:p>
            <w:r>
              <w:rPr>
                <w:rFonts w:ascii="Calibri" w:hAnsi="Calibri" w:eastAsia="Calibri"/>
                <w:b w:val="0"/>
                <w:i w:val="0"/>
                <w:color w:val="0D3856"/>
                <w:sz w:val="19"/>
              </w:rPr>
              <w:t>Verify a manual payment.</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/payments/:reference/mock-complete</w:t>
            </w:r>
          </w:p>
        </w:tc>
        <w:tc>
          <w:tcPr>
            <w:tcW w:type="dxa" w:w="5360"/>
          </w:tcPr>
          <w:p>
            <w:r>
              <w:rPr>
                <w:rFonts w:ascii="Calibri" w:hAnsi="Calibri" w:eastAsia="Calibri"/>
                <w:b w:val="0"/>
                <w:i w:val="0"/>
                <w:color w:val="0D3856"/>
                <w:sz w:val="19"/>
              </w:rPr>
              <w:t>Complete the local mock payment path.</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/payments/webhooks/:provider</w:t>
            </w:r>
          </w:p>
        </w:tc>
        <w:tc>
          <w:tcPr>
            <w:tcW w:type="dxa" w:w="5360"/>
          </w:tcPr>
          <w:p>
            <w:r>
              <w:rPr>
                <w:rFonts w:ascii="Calibri" w:hAnsi="Calibri" w:eastAsia="Calibri"/>
                <w:b w:val="0"/>
                <w:i w:val="0"/>
                <w:color w:val="0D3856"/>
                <w:sz w:val="19"/>
              </w:rPr>
              <w:t>Receive provider callback.</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Payment</w:t>
            </w:r>
          </w:p>
        </w:tc>
        <w:tc>
          <w:tcPr>
            <w:tcW w:type="dxa" w:w="3900"/>
          </w:tcPr>
          <w:p>
            <w:r>
              <w:rPr>
                <w:rFonts w:ascii="Calibri" w:hAnsi="Calibri" w:eastAsia="Calibri"/>
                <w:b w:val="0"/>
                <w:i w:val="0"/>
                <w:color w:val="0D3856"/>
                <w:sz w:val="19"/>
              </w:rPr>
              <w:t>reservation, provider, amount, status, reference</w:t>
            </w:r>
          </w:p>
        </w:tc>
        <w:tc>
          <w:tcPr>
            <w:tcW w:type="dxa" w:w="3660"/>
          </w:tcPr>
          <w:p>
            <w:r>
              <w:rPr>
                <w:rFonts w:ascii="Calibri" w:hAnsi="Calibri" w:eastAsia="Calibri"/>
                <w:b w:val="0"/>
                <w:i w:val="0"/>
                <w:color w:val="0D3856"/>
                <w:sz w:val="19"/>
              </w:rPr>
              <w:t>Business payment record.</w:t>
            </w:r>
          </w:p>
        </w:tc>
      </w:tr>
      <w:tr>
        <w:tc>
          <w:tcPr>
            <w:tcW w:type="dxa" w:w="1800"/>
            <w:shd w:fill="F7FAFC"/>
          </w:tcPr>
          <w:p>
            <w:r>
              <w:rPr>
                <w:rFonts w:ascii="Calibri" w:hAnsi="Calibri" w:eastAsia="Calibri"/>
                <w:b/>
                <w:i w:val="0"/>
                <w:color w:val="0D3856"/>
                <w:sz w:val="19"/>
              </w:rPr>
              <w:t>PaymentAttempt</w:t>
            </w:r>
          </w:p>
        </w:tc>
        <w:tc>
          <w:tcPr>
            <w:tcW w:type="dxa" w:w="3900"/>
          </w:tcPr>
          <w:p>
            <w:r>
              <w:rPr>
                <w:rFonts w:ascii="Calibri" w:hAnsi="Calibri" w:eastAsia="Calibri"/>
                <w:b w:val="0"/>
                <w:i w:val="0"/>
                <w:color w:val="0D3856"/>
                <w:sz w:val="19"/>
              </w:rPr>
              <w:t>attempt status, provider order/payment IDs, timestamps</w:t>
            </w:r>
          </w:p>
        </w:tc>
        <w:tc>
          <w:tcPr>
            <w:tcW w:type="dxa" w:w="3660"/>
          </w:tcPr>
          <w:p>
            <w:r>
              <w:rPr>
                <w:rFonts w:ascii="Calibri" w:hAnsi="Calibri" w:eastAsia="Calibri"/>
                <w:b w:val="0"/>
                <w:i w:val="0"/>
                <w:color w:val="0D3856"/>
                <w:sz w:val="19"/>
              </w:rPr>
              <w:t>Retryable provider interaction and reconciliation state.</w:t>
            </w:r>
          </w:p>
        </w:tc>
      </w:tr>
      <w:tr>
        <w:tc>
          <w:tcPr>
            <w:tcW w:type="dxa" w:w="18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paymentStatus, total, advance, balance</w:t>
            </w:r>
          </w:p>
        </w:tc>
        <w:tc>
          <w:tcPr>
            <w:tcW w:type="dxa" w:w="3660"/>
          </w:tcPr>
          <w:p>
            <w:r>
              <w:rPr>
                <w:rFonts w:ascii="Calibri" w:hAnsi="Calibri" w:eastAsia="Calibri"/>
                <w:b w:val="0"/>
                <w:i w:val="0"/>
                <w:color w:val="0D3856"/>
                <w:sz w:val="19"/>
              </w:rPr>
              <w:t>Reservation-level financial summary.</w:t>
            </w:r>
          </w:p>
        </w:tc>
      </w:tr>
      <w:tr>
        <w:tc>
          <w:tcPr>
            <w:tcW w:type="dxa" w:w="1800"/>
            <w:shd w:fill="F7FAFC"/>
          </w:tcPr>
          <w:p>
            <w:r>
              <w:rPr>
                <w:rFonts w:ascii="Calibri" w:hAnsi="Calibri" w:eastAsia="Calibri"/>
                <w:b/>
                <w:i w:val="0"/>
                <w:color w:val="0D3856"/>
                <w:sz w:val="19"/>
              </w:rPr>
              <w:t>StoredFile</w:t>
            </w:r>
          </w:p>
        </w:tc>
        <w:tc>
          <w:tcPr>
            <w:tcW w:type="dxa" w:w="3900"/>
          </w:tcPr>
          <w:p>
            <w:r>
              <w:rPr>
                <w:rFonts w:ascii="Calibri" w:hAnsi="Calibri" w:eastAsia="Calibri"/>
                <w:b w:val="0"/>
                <w:i w:val="0"/>
                <w:color w:val="0D3856"/>
                <w:sz w:val="19"/>
              </w:rPr>
              <w:t>proof metadata and storage reference</w:t>
            </w:r>
          </w:p>
        </w:tc>
        <w:tc>
          <w:tcPr>
            <w:tcW w:type="dxa" w:w="3660"/>
          </w:tcPr>
          <w:p>
            <w:r>
              <w:rPr>
                <w:rFonts w:ascii="Calibri" w:hAnsi="Calibri" w:eastAsia="Calibri"/>
                <w:b w:val="0"/>
                <w:i w:val="0"/>
                <w:color w:val="0D3856"/>
                <w:sz w:val="19"/>
              </w:rPr>
              <w:t>Evidence for manual payments where configured.</w:t>
            </w:r>
          </w:p>
        </w:tc>
      </w:tr>
    </w:tbl>
    <w:p>
      <w:pPr>
        <w:spacing w:after="0"/>
      </w:pPr>
    </w:p>
    <w:p>
      <w:pPr>
        <w:pStyle w:val="Heading1"/>
      </w:pPr>
      <w:r>
        <w:t>Primary workflow</w:t>
      </w:r>
    </w:p>
    <w:p>
      <w:pPr>
        <w:pStyle w:val="ListNumber"/>
      </w:pPr>
      <w:r>
        <w:rPr>
          <w:rFonts w:ascii="Calibri" w:hAnsi="Calibri" w:eastAsia="Calibri"/>
          <w:b w:val="0"/>
          <w:i w:val="0"/>
          <w:color w:val="0D3856"/>
          <w:sz w:val="21"/>
        </w:rPr>
        <w:t>Create or load a reservation with an outstanding balance.</w:t>
      </w:r>
    </w:p>
    <w:p>
      <w:pPr>
        <w:pStyle w:val="ListNumber"/>
      </w:pPr>
      <w:r>
        <w:rPr>
          <w:rFonts w:ascii="Calibri" w:hAnsi="Calibri" w:eastAsia="Calibri"/>
          <w:b w:val="0"/>
          <w:i w:val="0"/>
          <w:color w:val="0D3856"/>
          <w:sz w:val="21"/>
        </w:rPr>
        <w:t>Create an online order or record a manual payment.</w:t>
      </w:r>
    </w:p>
    <w:p>
      <w:pPr>
        <w:pStyle w:val="ListNumber"/>
      </w:pPr>
      <w:r>
        <w:rPr>
          <w:rFonts w:ascii="Calibri" w:hAnsi="Calibri" w:eastAsia="Calibri"/>
          <w:b w:val="0"/>
          <w:i w:val="0"/>
          <w:color w:val="0D3856"/>
          <w:sz w:val="21"/>
        </w:rPr>
        <w:t>Complete provider callback or staff verification.</w:t>
      </w:r>
    </w:p>
    <w:p>
      <w:pPr>
        <w:pStyle w:val="ListNumber"/>
      </w:pPr>
      <w:r>
        <w:rPr>
          <w:rFonts w:ascii="Calibri" w:hAnsi="Calibri" w:eastAsia="Calibri"/>
          <w:b w:val="0"/>
          <w:i w:val="0"/>
          <w:color w:val="0D3856"/>
          <w:sz w:val="21"/>
        </w:rPr>
        <w:t>Update payment and reservation balances idempotently.</w:t>
      </w:r>
    </w:p>
    <w:p>
      <w:pPr>
        <w:pStyle w:val="ListNumber"/>
      </w:pPr>
      <w:r>
        <w:rPr>
          <w:rFonts w:ascii="Calibri" w:hAnsi="Calibri" w:eastAsia="Calibri"/>
          <w:b w:val="0"/>
          <w:i w:val="0"/>
          <w:color w:val="0D3856"/>
          <w:sz w:val="21"/>
        </w:rPr>
        <w:t>Use reports and reconciliation for exceptions or pending attempts.</w:t>
      </w:r>
    </w:p>
    <w:p>
      <w:pPr>
        <w:pStyle w:val="Heading1"/>
      </w:pPr>
      <w:r>
        <w:t>Access and permissions</w:t>
      </w:r>
    </w:p>
    <w:p>
      <w:pPr>
        <w:pStyle w:val="ListBullet"/>
      </w:pPr>
      <w:r>
        <w:rPr>
          <w:rFonts w:ascii="Calibri" w:hAnsi="Calibri" w:eastAsia="Calibri"/>
          <w:b w:val="0"/>
          <w:i w:val="0"/>
          <w:color w:val="0D3856"/>
          <w:sz w:val="21"/>
        </w:rPr>
        <w:t>Payment operations are role-protected; verification is a privileged action.</w:t>
      </w:r>
    </w:p>
    <w:p>
      <w:pPr>
        <w:pStyle w:val="ListBullet"/>
      </w:pPr>
      <w:r>
        <w:rPr>
          <w:rFonts w:ascii="Calibri" w:hAnsi="Calibri" w:eastAsia="Calibri"/>
          <w:b w:val="0"/>
          <w:i w:val="0"/>
          <w:color w:val="0D3856"/>
          <w:sz w:val="21"/>
        </w:rPr>
        <w:t>Provider webhooks must use signature and idempotency checks.</w:t>
      </w:r>
    </w:p>
    <w:p>
      <w:pPr>
        <w:pStyle w:val="ListBullet"/>
      </w:pPr>
      <w:r>
        <w:rPr>
          <w:rFonts w:ascii="Calibri" w:hAnsi="Calibri" w:eastAsia="Calibri"/>
          <w:b w:val="0"/>
          <w:i w:val="0"/>
          <w:color w:val="0D3856"/>
          <w:sz w:val="21"/>
        </w:rPr>
        <w:t>Payment proof and financial details require restricted access and careful logging.</w:t>
      </w:r>
    </w:p>
    <w:p>
      <w:pPr>
        <w:pStyle w:val="Heading1"/>
      </w:pPr>
      <w:r>
        <w:t>Risks, boundaries, and implementation notes</w:t>
      </w:r>
    </w:p>
    <w:p>
      <w:pPr>
        <w:pStyle w:val="ListBullet"/>
      </w:pPr>
      <w:r>
        <w:rPr>
          <w:rFonts w:ascii="Calibri" w:hAnsi="Calibri" w:eastAsia="Calibri"/>
          <w:b w:val="0"/>
          <w:i w:val="0"/>
          <w:color w:val="0D3856"/>
          <w:sz w:val="21"/>
        </w:rPr>
        <w:t>Local mock mode is not production merchant certification.</w:t>
      </w:r>
    </w:p>
    <w:p>
      <w:pPr>
        <w:pStyle w:val="ListBullet"/>
      </w:pPr>
      <w:r>
        <w:rPr>
          <w:rFonts w:ascii="Calibri" w:hAnsi="Calibri" w:eastAsia="Calibri"/>
          <w:b w:val="0"/>
          <w:i w:val="0"/>
          <w:color w:val="0D3856"/>
          <w:sz w:val="21"/>
        </w:rPr>
        <w:t>Duplicate webhooks or retries must not double-apply money.</w:t>
      </w:r>
    </w:p>
    <w:p>
      <w:pPr>
        <w:pStyle w:val="ListBullet"/>
      </w:pPr>
      <w:r>
        <w:rPr>
          <w:rFonts w:ascii="Calibri" w:hAnsi="Calibri" w:eastAsia="Calibri"/>
          <w:b w:val="0"/>
          <w:i w:val="0"/>
          <w:color w:val="0D3856"/>
          <w:sz w:val="21"/>
        </w:rPr>
        <w:t>Provider credentials, refund rules, and settlement behavior are external dependencies.</w:t>
      </w:r>
    </w:p>
    <w:p>
      <w:pPr>
        <w:pStyle w:val="Heading1"/>
      </w:pPr>
      <w:r>
        <w:t>Recommended verification scenarios</w:t>
      </w:r>
    </w:p>
    <w:p>
      <w:pPr>
        <w:pStyle w:val="ListBullet"/>
      </w:pPr>
      <w:r>
        <w:rPr>
          <w:rFonts w:ascii="Calibri" w:hAnsi="Calibri" w:eastAsia="Calibri"/>
          <w:b w:val="0"/>
          <w:i w:val="0"/>
          <w:color w:val="0D3856"/>
          <w:sz w:val="21"/>
        </w:rPr>
        <w:t>Create a mock order and complete it once; replay the completion and verify no duplicate payment.</w:t>
      </w:r>
    </w:p>
    <w:p>
      <w:pPr>
        <w:pStyle w:val="ListBullet"/>
      </w:pPr>
      <w:r>
        <w:rPr>
          <w:rFonts w:ascii="Calibri" w:hAnsi="Calibri" w:eastAsia="Calibri"/>
          <w:b w:val="0"/>
          <w:i w:val="0"/>
          <w:color w:val="0D3856"/>
          <w:sz w:val="21"/>
        </w:rPr>
        <w:t>Record a manual payment, verify it, and confirm balance changes.</w:t>
      </w:r>
    </w:p>
    <w:p>
      <w:pPr>
        <w:pStyle w:val="ListBullet"/>
      </w:pPr>
      <w:r>
        <w:rPr>
          <w:rFonts w:ascii="Calibri" w:hAnsi="Calibri" w:eastAsia="Calibri"/>
          <w:b w:val="0"/>
          <w:i w:val="0"/>
          <w:color w:val="0D3856"/>
          <w:sz w:val="21"/>
        </w:rPr>
        <w:t>Upload proof and confirm it is linked to the intended payment.</w:t>
      </w:r>
    </w:p>
    <w:p>
      <w:pPr>
        <w:pStyle w:val="ListBullet"/>
      </w:pPr>
      <w:r>
        <w:rPr>
          <w:rFonts w:ascii="Calibri" w:hAnsi="Calibri" w:eastAsia="Calibri"/>
          <w:b w:val="0"/>
          <w:i w:val="0"/>
          <w:color w:val="0D3856"/>
          <w:sz w:val="21"/>
        </w:rPr>
        <w:t>Send an invalid webhook signature and verify rejection.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