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Reports</w:t>
      </w:r>
    </w:p>
    <w:p>
      <w:r>
        <w:rPr>
          <w:rFonts w:ascii="Calibri" w:hAnsi="Calibri" w:eastAsia="Calibri"/>
          <w:b w:val="0"/>
          <w:i w:val="0"/>
          <w:color w:val="2E74B5"/>
          <w:sz w:val="26"/>
        </w:rPr>
        <w:t>Operational, reservation, payment, arrival, departure, and cancellation reporting</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Provides management and operations with filtered report views and CSV export over reservations and financial activity.</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Reports." title="Local RainWood UI screenshot: Reports."/>
            <wp:cNvGraphicFramePr>
              <a:graphicFrameLocks noChangeAspect="1"/>
            </wp:cNvGraphicFramePr>
            <a:graphic>
              <a:graphicData uri="http://schemas.openxmlformats.org/drawingml/2006/picture">
                <pic:pic>
                  <pic:nvPicPr>
                    <pic:cNvPr id="0" name="report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Reports.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reports to understand bookings, revenue, occupancy, payments, and operational performance for a selected period.</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Date range</w:t>
            </w:r>
          </w:p>
        </w:tc>
        <w:tc>
          <w:tcPr>
            <w:tcW w:type="dxa" w:w="3900"/>
          </w:tcPr>
          <w:p>
            <w:r>
              <w:rPr>
                <w:rFonts w:ascii="Calibri" w:hAnsi="Calibri" w:eastAsia="Calibri"/>
                <w:b w:val="0"/>
                <w:i w:val="0"/>
                <w:color w:val="0D3856"/>
                <w:sz w:val="19"/>
              </w:rPr>
              <w:t>Start and end dates</w:t>
            </w:r>
          </w:p>
        </w:tc>
        <w:tc>
          <w:tcPr>
            <w:tcW w:type="dxa" w:w="3460"/>
          </w:tcPr>
          <w:p>
            <w:r>
              <w:rPr>
                <w:rFonts w:ascii="Calibri" w:hAnsi="Calibri" w:eastAsia="Calibri"/>
                <w:b w:val="0"/>
                <w:i w:val="0"/>
                <w:color w:val="0D3856"/>
                <w:sz w:val="19"/>
              </w:rPr>
              <w:t>Choose the period being analysed.</w:t>
            </w:r>
          </w:p>
        </w:tc>
      </w:tr>
      <w:tr>
        <w:tc>
          <w:tcPr>
            <w:tcW w:type="dxa" w:w="2100"/>
            <w:shd w:fill="F7FAFC"/>
          </w:tcPr>
          <w:p>
            <w:r>
              <w:rPr>
                <w:rFonts w:ascii="Calibri" w:hAnsi="Calibri" w:eastAsia="Calibri"/>
                <w:b/>
                <w:i w:val="0"/>
                <w:color w:val="0D3856"/>
                <w:sz w:val="19"/>
              </w:rPr>
              <w:t>Hotel or source</w:t>
            </w:r>
          </w:p>
        </w:tc>
        <w:tc>
          <w:tcPr>
            <w:tcW w:type="dxa" w:w="3900"/>
          </w:tcPr>
          <w:p>
            <w:r>
              <w:rPr>
                <w:rFonts w:ascii="Calibri" w:hAnsi="Calibri" w:eastAsia="Calibri"/>
                <w:b w:val="0"/>
                <w:i w:val="0"/>
                <w:color w:val="0D3856"/>
                <w:sz w:val="19"/>
              </w:rPr>
              <w:t>Property, website, agent, phone, or direct</w:t>
            </w:r>
          </w:p>
        </w:tc>
        <w:tc>
          <w:tcPr>
            <w:tcW w:type="dxa" w:w="3460"/>
          </w:tcPr>
          <w:p>
            <w:r>
              <w:rPr>
                <w:rFonts w:ascii="Calibri" w:hAnsi="Calibri" w:eastAsia="Calibri"/>
                <w:b w:val="0"/>
                <w:i w:val="0"/>
                <w:color w:val="0D3856"/>
                <w:sz w:val="19"/>
              </w:rPr>
              <w:t>Narrow the report to the relevant business segment.</w:t>
            </w:r>
          </w:p>
        </w:tc>
      </w:tr>
      <w:tr>
        <w:tc>
          <w:tcPr>
            <w:tcW w:type="dxa" w:w="2100"/>
            <w:shd w:fill="F7FAFC"/>
          </w:tcPr>
          <w:p>
            <w:r>
              <w:rPr>
                <w:rFonts w:ascii="Calibri" w:hAnsi="Calibri" w:eastAsia="Calibri"/>
                <w:b/>
                <w:i w:val="0"/>
                <w:color w:val="0D3856"/>
                <w:sz w:val="19"/>
              </w:rPr>
              <w:t>Summary metrics</w:t>
            </w:r>
          </w:p>
        </w:tc>
        <w:tc>
          <w:tcPr>
            <w:tcW w:type="dxa" w:w="3900"/>
          </w:tcPr>
          <w:p>
            <w:r>
              <w:rPr>
                <w:rFonts w:ascii="Calibri" w:hAnsi="Calibri" w:eastAsia="Calibri"/>
                <w:b w:val="0"/>
                <w:i w:val="0"/>
                <w:color w:val="0D3856"/>
                <w:sz w:val="19"/>
              </w:rPr>
              <w:t>Reservations, revenue, balance, occupancy</w:t>
            </w:r>
          </w:p>
        </w:tc>
        <w:tc>
          <w:tcPr>
            <w:tcW w:type="dxa" w:w="3460"/>
          </w:tcPr>
          <w:p>
            <w:r>
              <w:rPr>
                <w:rFonts w:ascii="Calibri" w:hAnsi="Calibri" w:eastAsia="Calibri"/>
                <w:b w:val="0"/>
                <w:i w:val="0"/>
                <w:color w:val="0D3856"/>
                <w:sz w:val="19"/>
              </w:rPr>
              <w:t>Read the high-level performance for the period.</w:t>
            </w:r>
          </w:p>
        </w:tc>
      </w:tr>
      <w:tr>
        <w:tc>
          <w:tcPr>
            <w:tcW w:type="dxa" w:w="2100"/>
            <w:shd w:fill="F7FAFC"/>
          </w:tcPr>
          <w:p>
            <w:r>
              <w:rPr>
                <w:rFonts w:ascii="Calibri" w:hAnsi="Calibri" w:eastAsia="Calibri"/>
                <w:b/>
                <w:i w:val="0"/>
                <w:color w:val="0D3856"/>
                <w:sz w:val="19"/>
              </w:rPr>
              <w:t>Export</w:t>
            </w:r>
          </w:p>
        </w:tc>
        <w:tc>
          <w:tcPr>
            <w:tcW w:type="dxa" w:w="3900"/>
          </w:tcPr>
          <w:p>
            <w:r>
              <w:rPr>
                <w:rFonts w:ascii="Calibri" w:hAnsi="Calibri" w:eastAsia="Calibri"/>
                <w:b w:val="0"/>
                <w:i w:val="0"/>
                <w:color w:val="0D3856"/>
                <w:sz w:val="19"/>
              </w:rPr>
              <w:t>CSV, Excel, or report download</w:t>
            </w:r>
          </w:p>
        </w:tc>
        <w:tc>
          <w:tcPr>
            <w:tcW w:type="dxa" w:w="3460"/>
          </w:tcPr>
          <w:p>
            <w:r>
              <w:rPr>
                <w:rFonts w:ascii="Calibri" w:hAnsi="Calibri" w:eastAsia="Calibri"/>
                <w:b w:val="0"/>
                <w:i w:val="0"/>
                <w:color w:val="0D3856"/>
                <w:sz w:val="19"/>
              </w:rPr>
              <w:t>Share or further analyse the filtered results.</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dashboard</w:t>
            </w:r>
          </w:p>
        </w:tc>
        <w:tc>
          <w:tcPr>
            <w:tcW w:type="dxa" w:w="6860"/>
          </w:tcPr>
          <w:p>
            <w:r>
              <w:rPr>
                <w:rFonts w:ascii="Calibri" w:hAnsi="Calibri" w:eastAsia="Calibri"/>
                <w:b w:val="0"/>
                <w:i w:val="0"/>
                <w:color w:val="0D3856"/>
                <w:sz w:val="19"/>
              </w:rPr>
              <w:t>High-level operational metrics.</w:t>
            </w:r>
          </w:p>
        </w:tc>
      </w:tr>
      <w:tr>
        <w:tc>
          <w:tcPr>
            <w:tcW w:type="dxa" w:w="2500"/>
            <w:shd w:fill="F7FAFC"/>
          </w:tcPr>
          <w:p>
            <w:r>
              <w:rPr>
                <w:rFonts w:ascii="Calibri" w:hAnsi="Calibri" w:eastAsia="Calibri"/>
                <w:b/>
                <w:i w:val="0"/>
                <w:color w:val="0D3856"/>
                <w:sz w:val="19"/>
              </w:rPr>
              <w:t>Reports page</w:t>
            </w:r>
          </w:p>
        </w:tc>
        <w:tc>
          <w:tcPr>
            <w:tcW w:type="dxa" w:w="6860"/>
          </w:tcPr>
          <w:p>
            <w:r>
              <w:rPr>
                <w:rFonts w:ascii="Calibri" w:hAnsi="Calibri" w:eastAsia="Calibri"/>
                <w:b w:val="0"/>
                <w:i w:val="0"/>
                <w:color w:val="0D3856"/>
                <w:sz w:val="19"/>
              </w:rPr>
              <w:t>Filter date range and report type.</w:t>
            </w:r>
          </w:p>
        </w:tc>
      </w:tr>
      <w:tr>
        <w:tc>
          <w:tcPr>
            <w:tcW w:type="dxa" w:w="2500"/>
            <w:shd w:fill="F7FAFC"/>
          </w:tcPr>
          <w:p>
            <w:r>
              <w:rPr>
                <w:rFonts w:ascii="Calibri" w:hAnsi="Calibri" w:eastAsia="Calibri"/>
                <w:b/>
                <w:i w:val="0"/>
                <w:color w:val="0D3856"/>
                <w:sz w:val="19"/>
              </w:rPr>
              <w:t>CSV export</w:t>
            </w:r>
          </w:p>
        </w:tc>
        <w:tc>
          <w:tcPr>
            <w:tcW w:type="dxa" w:w="6860"/>
          </w:tcPr>
          <w:p>
            <w:r>
              <w:rPr>
                <w:rFonts w:ascii="Calibri" w:hAnsi="Calibri" w:eastAsia="Calibri"/>
                <w:b w:val="0"/>
                <w:i w:val="0"/>
                <w:color w:val="0D3856"/>
                <w:sz w:val="19"/>
              </w:rPr>
              <w:t>Download reservation report data for analysis.</w:t>
            </w:r>
          </w:p>
        </w:tc>
      </w:tr>
      <w:tr>
        <w:tc>
          <w:tcPr>
            <w:tcW w:type="dxa" w:w="2500"/>
            <w:shd w:fill="F7FAFC"/>
          </w:tcPr>
          <w:p>
            <w:r>
              <w:rPr>
                <w:rFonts w:ascii="Calibri" w:hAnsi="Calibri" w:eastAsia="Calibri"/>
                <w:b/>
                <w:i w:val="0"/>
                <w:color w:val="0D3856"/>
                <w:sz w:val="19"/>
              </w:rPr>
              <w:t>Expected arrivals/departures</w:t>
            </w:r>
          </w:p>
        </w:tc>
        <w:tc>
          <w:tcPr>
            <w:tcW w:type="dxa" w:w="6860"/>
          </w:tcPr>
          <w:p>
            <w:r>
              <w:rPr>
                <w:rFonts w:ascii="Calibri" w:hAnsi="Calibri" w:eastAsia="Calibri"/>
                <w:b w:val="0"/>
                <w:i w:val="0"/>
                <w:color w:val="0D3856"/>
                <w:sz w:val="19"/>
              </w:rPr>
              <w:t>Support front-office planning.</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frontend/src/app/admin/dashboard/page.tsx; reports/page.tsx</w:t>
            </w:r>
          </w:p>
        </w:tc>
        <w:tc>
          <w:tcPr>
            <w:tcW w:type="dxa" w:w="3960"/>
          </w:tcPr>
          <w:p>
            <w:r>
              <w:rPr>
                <w:rFonts w:ascii="Calibri" w:hAnsi="Calibri" w:eastAsia="Calibri"/>
                <w:b w:val="0"/>
                <w:i w:val="0"/>
                <w:color w:val="0D3856"/>
                <w:sz w:val="19"/>
              </w:rPr>
              <w:t>Dashboard and report controls.</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backend/src/modules/reports/reports.controller.ts; reports.service.ts</w:t>
            </w:r>
          </w:p>
        </w:tc>
        <w:tc>
          <w:tcPr>
            <w:tcW w:type="dxa" w:w="3960"/>
          </w:tcPr>
          <w:p>
            <w:r>
              <w:rPr>
                <w:rFonts w:ascii="Calibri" w:hAnsi="Calibri" w:eastAsia="Calibri"/>
                <w:b w:val="0"/>
                <w:i w:val="0"/>
                <w:color w:val="0D3856"/>
                <w:sz w:val="19"/>
              </w:rPr>
              <w:t>Aggregated report queries and CSV serialization.</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Reservation, Payment, ReservationLine, ReservationRoomNight</w:t>
            </w:r>
          </w:p>
        </w:tc>
        <w:tc>
          <w:tcPr>
            <w:tcW w:type="dxa" w:w="3960"/>
          </w:tcPr>
          <w:p>
            <w:r>
              <w:rPr>
                <w:rFonts w:ascii="Calibri" w:hAnsi="Calibri" w:eastAsia="Calibri"/>
                <w:b w:val="0"/>
                <w:i w:val="0"/>
                <w:color w:val="0D3856"/>
                <w:sz w:val="19"/>
              </w:rPr>
              <w:t>Source records for reports.</w:t>
            </w:r>
          </w:p>
        </w:tc>
      </w:tr>
      <w:tr>
        <w:tc>
          <w:tcPr>
            <w:tcW w:type="dxa" w:w="1800"/>
            <w:shd w:fill="F7FAFC"/>
          </w:tcPr>
          <w:p>
            <w:r>
              <w:rPr>
                <w:rFonts w:ascii="Calibri" w:hAnsi="Calibri" w:eastAsia="Calibri"/>
                <w:b/>
                <w:i w:val="0"/>
                <w:color w:val="0D3856"/>
                <w:sz w:val="19"/>
              </w:rPr>
              <w:t>Runbook</w:t>
            </w:r>
          </w:p>
        </w:tc>
        <w:tc>
          <w:tcPr>
            <w:tcW w:type="dxa" w:w="3600"/>
          </w:tcPr>
          <w:p>
            <w:r>
              <w:rPr>
                <w:rFonts w:ascii="Calibri" w:hAnsi="Calibri" w:eastAsia="Calibri"/>
                <w:b w:val="0"/>
                <w:i w:val="0"/>
                <w:color w:val="0D3856"/>
                <w:sz w:val="19"/>
              </w:rPr>
              <w:t>docs/CODEX_RUNBOOK.md</w:t>
            </w:r>
          </w:p>
        </w:tc>
        <w:tc>
          <w:tcPr>
            <w:tcW w:type="dxa" w:w="3960"/>
          </w:tcPr>
          <w:p>
            <w:r>
              <w:rPr>
                <w:rFonts w:ascii="Calibri" w:hAnsi="Calibri" w:eastAsia="Calibri"/>
                <w:b w:val="0"/>
                <w:i w:val="0"/>
                <w:color w:val="0D3856"/>
                <w:sz w:val="19"/>
              </w:rPr>
              <w:t>Operational context and deployment checks.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/reports/dashboard</w:t>
            </w:r>
          </w:p>
        </w:tc>
        <w:tc>
          <w:tcPr>
            <w:tcW w:type="dxa" w:w="5360"/>
          </w:tcPr>
          <w:p>
            <w:r>
              <w:rPr>
                <w:rFonts w:ascii="Calibri" w:hAnsi="Calibri" w:eastAsia="Calibri"/>
                <w:b w:val="0"/>
                <w:i w:val="0"/>
                <w:color w:val="0D3856"/>
                <w:sz w:val="19"/>
              </w:rPr>
              <w:t>Dashboard metrics.</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/reports/reservations</w:t>
            </w:r>
          </w:p>
        </w:tc>
        <w:tc>
          <w:tcPr>
            <w:tcW w:type="dxa" w:w="5360"/>
          </w:tcPr>
          <w:p>
            <w:r>
              <w:rPr>
                <w:rFonts w:ascii="Calibri" w:hAnsi="Calibri" w:eastAsia="Calibri"/>
                <w:b w:val="0"/>
                <w:i w:val="0"/>
                <w:color w:val="0D3856"/>
                <w:sz w:val="19"/>
              </w:rPr>
              <w:t>Reservation report.</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/reports/summary</w:t>
            </w:r>
          </w:p>
        </w:tc>
        <w:tc>
          <w:tcPr>
            <w:tcW w:type="dxa" w:w="5360"/>
          </w:tcPr>
          <w:p>
            <w:r>
              <w:rPr>
                <w:rFonts w:ascii="Calibri" w:hAnsi="Calibri" w:eastAsia="Calibri"/>
                <w:b w:val="0"/>
                <w:i w:val="0"/>
                <w:color w:val="0D3856"/>
                <w:sz w:val="19"/>
              </w:rPr>
              <w:t>Summary aggregation.</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/reports/expected-arrivals; /arrivals; /departures</w:t>
            </w:r>
          </w:p>
        </w:tc>
        <w:tc>
          <w:tcPr>
            <w:tcW w:type="dxa" w:w="5360"/>
          </w:tcPr>
          <w:p>
            <w:r>
              <w:rPr>
                <w:rFonts w:ascii="Calibri" w:hAnsi="Calibri" w:eastAsia="Calibri"/>
                <w:b w:val="0"/>
                <w:i w:val="0"/>
                <w:color w:val="0D3856"/>
                <w:sz w:val="19"/>
              </w:rPr>
              <w:t>Front-office date reports.</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/reports/payments; /cancellations; /reservations.csv</w:t>
            </w:r>
          </w:p>
        </w:tc>
        <w:tc>
          <w:tcPr>
            <w:tcW w:type="dxa" w:w="5360"/>
          </w:tcPr>
          <w:p>
            <w:r>
              <w:rPr>
                <w:rFonts w:ascii="Calibri" w:hAnsi="Calibri" w:eastAsia="Calibri"/>
                <w:b w:val="0"/>
                <w:i w:val="0"/>
                <w:color w:val="0D3856"/>
                <w:sz w:val="19"/>
              </w:rPr>
              <w:t>Financial, cancellation, and export reports.</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status, source, dates, totals, balance</w:t>
            </w:r>
          </w:p>
        </w:tc>
        <w:tc>
          <w:tcPr>
            <w:tcW w:type="dxa" w:w="3660"/>
          </w:tcPr>
          <w:p>
            <w:r>
              <w:rPr>
                <w:rFonts w:ascii="Calibri" w:hAnsi="Calibri" w:eastAsia="Calibri"/>
                <w:b w:val="0"/>
                <w:i w:val="0"/>
                <w:color w:val="0D3856"/>
                <w:sz w:val="19"/>
              </w:rPr>
              <w:t>Primary operational report record.</w:t>
            </w:r>
          </w:p>
        </w:tc>
      </w:tr>
      <w:tr>
        <w:tc>
          <w:tcPr>
            <w:tcW w:type="dxa" w:w="1800"/>
            <w:shd w:fill="F7FAFC"/>
          </w:tcPr>
          <w:p>
            <w:r>
              <w:rPr>
                <w:rFonts w:ascii="Calibri" w:hAnsi="Calibri" w:eastAsia="Calibri"/>
                <w:b/>
                <w:i w:val="0"/>
                <w:color w:val="0D3856"/>
                <w:sz w:val="19"/>
              </w:rPr>
              <w:t>Payment</w:t>
            </w:r>
          </w:p>
        </w:tc>
        <w:tc>
          <w:tcPr>
            <w:tcW w:type="dxa" w:w="3900"/>
          </w:tcPr>
          <w:p>
            <w:r>
              <w:rPr>
                <w:rFonts w:ascii="Calibri" w:hAnsi="Calibri" w:eastAsia="Calibri"/>
                <w:b w:val="0"/>
                <w:i w:val="0"/>
                <w:color w:val="0D3856"/>
                <w:sz w:val="19"/>
              </w:rPr>
              <w:t>status, amount, verified timestamps</w:t>
            </w:r>
          </w:p>
        </w:tc>
        <w:tc>
          <w:tcPr>
            <w:tcW w:type="dxa" w:w="3660"/>
          </w:tcPr>
          <w:p>
            <w:r>
              <w:rPr>
                <w:rFonts w:ascii="Calibri" w:hAnsi="Calibri" w:eastAsia="Calibri"/>
                <w:b w:val="0"/>
                <w:i w:val="0"/>
                <w:color w:val="0D3856"/>
                <w:sz w:val="19"/>
              </w:rPr>
              <w:t>Payment report source.</w:t>
            </w:r>
          </w:p>
        </w:tc>
      </w:tr>
      <w:tr>
        <w:tc>
          <w:tcPr>
            <w:tcW w:type="dxa" w:w="1800"/>
            <w:shd w:fill="F7FAFC"/>
          </w:tcPr>
          <w:p>
            <w:r>
              <w:rPr>
                <w:rFonts w:ascii="Calibri" w:hAnsi="Calibri" w:eastAsia="Calibri"/>
                <w:b/>
                <w:i w:val="0"/>
                <w:color w:val="0D3856"/>
                <w:sz w:val="19"/>
              </w:rPr>
              <w:t>Room nights</w:t>
            </w:r>
          </w:p>
        </w:tc>
        <w:tc>
          <w:tcPr>
            <w:tcW w:type="dxa" w:w="3900"/>
          </w:tcPr>
          <w:p>
            <w:r>
              <w:rPr>
                <w:rFonts w:ascii="Calibri" w:hAnsi="Calibri" w:eastAsia="Calibri"/>
                <w:b w:val="0"/>
                <w:i w:val="0"/>
                <w:color w:val="0D3856"/>
                <w:sz w:val="19"/>
              </w:rPr>
              <w:t>date, rooms, amount, tax, total</w:t>
            </w:r>
          </w:p>
        </w:tc>
        <w:tc>
          <w:tcPr>
            <w:tcW w:type="dxa" w:w="3660"/>
          </w:tcPr>
          <w:p>
            <w:r>
              <w:rPr>
                <w:rFonts w:ascii="Calibri" w:hAnsi="Calibri" w:eastAsia="Calibri"/>
                <w:b w:val="0"/>
                <w:i w:val="0"/>
                <w:color w:val="0D3856"/>
                <w:sz w:val="19"/>
              </w:rPr>
              <w:t>Arrival/departure and revenue detail.</w:t>
            </w:r>
          </w:p>
        </w:tc>
      </w:tr>
      <w:tr>
        <w:tc>
          <w:tcPr>
            <w:tcW w:type="dxa" w:w="1800"/>
            <w:shd w:fill="F7FAFC"/>
          </w:tcPr>
          <w:p>
            <w:r>
              <w:rPr>
                <w:rFonts w:ascii="Calibri" w:hAnsi="Calibri" w:eastAsia="Calibri"/>
                <w:b/>
                <w:i w:val="0"/>
                <w:color w:val="0D3856"/>
                <w:sz w:val="19"/>
              </w:rPr>
              <w:t>Query filters</w:t>
            </w:r>
          </w:p>
        </w:tc>
        <w:tc>
          <w:tcPr>
            <w:tcW w:type="dxa" w:w="3900"/>
          </w:tcPr>
          <w:p>
            <w:r>
              <w:rPr>
                <w:rFonts w:ascii="Calibri" w:hAnsi="Calibri" w:eastAsia="Calibri"/>
                <w:b w:val="0"/>
                <w:i w:val="0"/>
                <w:color w:val="0D3856"/>
                <w:sz w:val="19"/>
              </w:rPr>
              <w:t>date range and report-specific options</w:t>
            </w:r>
          </w:p>
        </w:tc>
        <w:tc>
          <w:tcPr>
            <w:tcW w:type="dxa" w:w="3660"/>
          </w:tcPr>
          <w:p>
            <w:r>
              <w:rPr>
                <w:rFonts w:ascii="Calibri" w:hAnsi="Calibri" w:eastAsia="Calibri"/>
                <w:b w:val="0"/>
                <w:i w:val="0"/>
                <w:color w:val="0D3856"/>
                <w:sz w:val="19"/>
              </w:rPr>
              <w:t>Controls report scope.</w:t>
            </w:r>
          </w:p>
        </w:tc>
      </w:tr>
    </w:tbl>
    <w:p>
      <w:pPr>
        <w:spacing w:after="0"/>
      </w:pPr>
    </w:p>
    <w:p>
      <w:pPr>
        <w:pStyle w:val="Heading1"/>
      </w:pPr>
      <w:r>
        <w:t>Primary workflow</w:t>
      </w:r>
    </w:p>
    <w:p>
      <w:pPr>
        <w:pStyle w:val="ListNumber"/>
      </w:pPr>
      <w:r>
        <w:rPr>
          <w:rFonts w:ascii="Calibri" w:hAnsi="Calibri" w:eastAsia="Calibri"/>
          <w:b w:val="0"/>
          <w:i w:val="0"/>
          <w:color w:val="0D3856"/>
          <w:sz w:val="21"/>
        </w:rPr>
        <w:t>Staff selects report type and date filters.</w:t>
      </w:r>
    </w:p>
    <w:p>
      <w:pPr>
        <w:pStyle w:val="ListNumber"/>
      </w:pPr>
      <w:r>
        <w:rPr>
          <w:rFonts w:ascii="Calibri" w:hAnsi="Calibri" w:eastAsia="Calibri"/>
          <w:b w:val="0"/>
          <w:i w:val="0"/>
          <w:color w:val="0D3856"/>
          <w:sz w:val="21"/>
        </w:rPr>
        <w:t>Frontend requests a protected report endpoint.</w:t>
      </w:r>
    </w:p>
    <w:p>
      <w:pPr>
        <w:pStyle w:val="ListNumber"/>
      </w:pPr>
      <w:r>
        <w:rPr>
          <w:rFonts w:ascii="Calibri" w:hAnsi="Calibri" w:eastAsia="Calibri"/>
          <w:b w:val="0"/>
          <w:i w:val="0"/>
          <w:color w:val="0D3856"/>
          <w:sz w:val="21"/>
        </w:rPr>
        <w:t>Service aggregates reservations, payment attempts, or room-night data.</w:t>
      </w:r>
    </w:p>
    <w:p>
      <w:pPr>
        <w:pStyle w:val="ListNumber"/>
      </w:pPr>
      <w:r>
        <w:rPr>
          <w:rFonts w:ascii="Calibri" w:hAnsi="Calibri" w:eastAsia="Calibri"/>
          <w:b w:val="0"/>
          <w:i w:val="0"/>
          <w:color w:val="0D3856"/>
          <w:sz w:val="21"/>
        </w:rPr>
        <w:t>User reviews the result and optionally downloads CSV.</w:t>
      </w:r>
    </w:p>
    <w:p>
      <w:pPr>
        <w:pStyle w:val="ListNumber"/>
      </w:pPr>
      <w:r>
        <w:rPr>
          <w:rFonts w:ascii="Calibri" w:hAnsi="Calibri" w:eastAsia="Calibri"/>
          <w:b w:val="0"/>
          <w:i w:val="0"/>
          <w:color w:val="0D3856"/>
          <w:sz w:val="21"/>
        </w:rPr>
        <w:t>Use the exported file for reconciliation or management reporting.</w:t>
      </w:r>
    </w:p>
    <w:p>
      <w:pPr>
        <w:pStyle w:val="Heading1"/>
      </w:pPr>
      <w:r>
        <w:t>Access and permissions</w:t>
      </w:r>
    </w:p>
    <w:p>
      <w:pPr>
        <w:pStyle w:val="ListBullet"/>
      </w:pPr>
      <w:r>
        <w:rPr>
          <w:rFonts w:ascii="Calibri" w:hAnsi="Calibri" w:eastAsia="Calibri"/>
          <w:b w:val="0"/>
          <w:i w:val="0"/>
          <w:color w:val="0D3856"/>
          <w:sz w:val="21"/>
        </w:rPr>
        <w:t>Reports are staff/admin surfaces and may contain personal and financial data.</w:t>
      </w:r>
    </w:p>
    <w:p>
      <w:pPr>
        <w:pStyle w:val="ListBullet"/>
      </w:pPr>
      <w:r>
        <w:rPr>
          <w:rFonts w:ascii="Calibri" w:hAnsi="Calibri" w:eastAsia="Calibri"/>
          <w:b w:val="0"/>
          <w:i w:val="0"/>
          <w:color w:val="0D3856"/>
          <w:sz w:val="21"/>
        </w:rPr>
        <w:t>CSV export should carry the same authorization as the on-screen report.</w:t>
      </w:r>
    </w:p>
    <w:p>
      <w:pPr>
        <w:pStyle w:val="ListBullet"/>
      </w:pPr>
      <w:r>
        <w:rPr>
          <w:rFonts w:ascii="Calibri" w:hAnsi="Calibri" w:eastAsia="Calibri"/>
          <w:b w:val="0"/>
          <w:i w:val="0"/>
          <w:color w:val="0D3856"/>
          <w:sz w:val="21"/>
        </w:rPr>
        <w:t>Avoid adding sensitive fields to exports without explicit approval.</w:t>
      </w:r>
    </w:p>
    <w:p>
      <w:pPr>
        <w:pStyle w:val="Heading1"/>
      </w:pPr>
      <w:r>
        <w:t>Risks, boundaries, and implementation notes</w:t>
      </w:r>
    </w:p>
    <w:p>
      <w:pPr>
        <w:pStyle w:val="ListBullet"/>
      </w:pPr>
      <w:r>
        <w:rPr>
          <w:rFonts w:ascii="Calibri" w:hAnsi="Calibri" w:eastAsia="Calibri"/>
          <w:b w:val="0"/>
          <w:i w:val="0"/>
          <w:color w:val="0D3856"/>
          <w:sz w:val="21"/>
        </w:rPr>
        <w:t>Large date ranges may increase query cost and response time.</w:t>
      </w:r>
    </w:p>
    <w:p>
      <w:pPr>
        <w:pStyle w:val="ListBullet"/>
      </w:pPr>
      <w:r>
        <w:rPr>
          <w:rFonts w:ascii="Calibri" w:hAnsi="Calibri" w:eastAsia="Calibri"/>
          <w:b w:val="0"/>
          <w:i w:val="0"/>
          <w:color w:val="0D3856"/>
          <w:sz w:val="21"/>
        </w:rPr>
        <w:t>Report definitions must be documented when business totals change.</w:t>
      </w:r>
    </w:p>
    <w:p>
      <w:pPr>
        <w:pStyle w:val="ListBullet"/>
      </w:pPr>
      <w:r>
        <w:rPr>
          <w:rFonts w:ascii="Calibri" w:hAnsi="Calibri" w:eastAsia="Calibri"/>
          <w:b w:val="0"/>
          <w:i w:val="0"/>
          <w:color w:val="0D3856"/>
          <w:sz w:val="21"/>
        </w:rPr>
        <w:t>Time zone and date-only semantics need consistent treatment.</w:t>
      </w:r>
    </w:p>
    <w:p>
      <w:pPr>
        <w:pStyle w:val="Heading1"/>
      </w:pPr>
      <w:r>
        <w:t>Recommended verification scenarios</w:t>
      </w:r>
    </w:p>
    <w:p>
      <w:pPr>
        <w:pStyle w:val="ListBullet"/>
      </w:pPr>
      <w:r>
        <w:rPr>
          <w:rFonts w:ascii="Calibri" w:hAnsi="Calibri" w:eastAsia="Calibri"/>
          <w:b w:val="0"/>
          <w:i w:val="0"/>
          <w:color w:val="0D3856"/>
          <w:sz w:val="21"/>
        </w:rPr>
        <w:t>Run every report with a narrow date range and compare to source records.</w:t>
      </w:r>
    </w:p>
    <w:p>
      <w:pPr>
        <w:pStyle w:val="ListBullet"/>
      </w:pPr>
      <w:r>
        <w:rPr>
          <w:rFonts w:ascii="Calibri" w:hAnsi="Calibri" w:eastAsia="Calibri"/>
          <w:b w:val="0"/>
          <w:i w:val="0"/>
          <w:color w:val="0D3856"/>
          <w:sz w:val="21"/>
        </w:rPr>
        <w:t>Export CSV and validate headers, encoding, and row counts.</w:t>
      </w:r>
    </w:p>
    <w:p>
      <w:pPr>
        <w:pStyle w:val="ListBullet"/>
      </w:pPr>
      <w:r>
        <w:rPr>
          <w:rFonts w:ascii="Calibri" w:hAnsi="Calibri" w:eastAsia="Calibri"/>
          <w:b w:val="0"/>
          <w:i w:val="0"/>
          <w:color w:val="0D3856"/>
          <w:sz w:val="21"/>
        </w:rPr>
        <w:t>Verify unauthorized roles cannot access protected reports.</w:t>
      </w:r>
    </w:p>
    <w:p>
      <w:pPr>
        <w:pStyle w:val="ListBullet"/>
      </w:pPr>
      <w:r>
        <w:rPr>
          <w:rFonts w:ascii="Calibri" w:hAnsi="Calibri" w:eastAsia="Calibri"/>
          <w:b w:val="0"/>
          <w:i w:val="0"/>
          <w:color w:val="0D3856"/>
          <w:sz w:val="21"/>
        </w:rPr>
        <w:t>Test empty result ranges and boundary dates.</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