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50E" w:rsidRPr="00A46B6D" w:rsidRDefault="0067350E" w:rsidP="0067350E">
      <w:pPr>
        <w:rPr>
          <w:b/>
          <w:sz w:val="36"/>
          <w:szCs w:val="36"/>
        </w:rPr>
      </w:pPr>
      <w:r>
        <w:rPr>
          <w:b/>
          <w:sz w:val="36"/>
          <w:szCs w:val="36"/>
        </w:rPr>
        <w:t>Artificial Neural Network</w:t>
      </w:r>
    </w:p>
    <w:p w:rsidR="0067350E" w:rsidRDefault="0067350E" w:rsidP="0067350E">
      <w:pPr>
        <w:rPr>
          <w:sz w:val="28"/>
          <w:szCs w:val="28"/>
        </w:rPr>
      </w:pPr>
      <w:r w:rsidRPr="00351B62">
        <w:rPr>
          <w:sz w:val="28"/>
          <w:szCs w:val="28"/>
        </w:rPr>
        <w:t>Introduction</w:t>
      </w:r>
    </w:p>
    <w:p w:rsidR="00392329" w:rsidRDefault="00392329" w:rsidP="0067350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One of most important thing one do when an individual buys a house is to compare it with market’s median price. </w:t>
      </w:r>
    </w:p>
    <w:p w:rsidR="00392329" w:rsidRPr="00392329" w:rsidRDefault="00392329" w:rsidP="0067350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We built a neural network classifier to identify whether a house with given attributes is </w:t>
      </w:r>
      <w:r w:rsidR="00001C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likely to be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above or below the market’</w:t>
      </w:r>
      <w:r w:rsidR="00001CAE">
        <w:rPr>
          <w:rFonts w:ascii="Arial" w:hAnsi="Arial" w:cs="Arial"/>
          <w:color w:val="222222"/>
          <w:sz w:val="21"/>
          <w:szCs w:val="21"/>
          <w:shd w:val="clear" w:color="auto" w:fill="FFFFFF"/>
        </w:rPr>
        <w:t>s median price with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 F-score of 0.92</w:t>
      </w:r>
      <w:r w:rsidR="00946F49">
        <w:rPr>
          <w:rFonts w:ascii="Arial" w:hAnsi="Arial" w:cs="Arial"/>
          <w:color w:val="222222"/>
          <w:sz w:val="21"/>
          <w:szCs w:val="21"/>
          <w:shd w:val="clear" w:color="auto" w:fill="FFFFFF"/>
        </w:rPr>
        <w:t>83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001CAE">
        <w:rPr>
          <w:rFonts w:ascii="Arial" w:hAnsi="Arial" w:cs="Arial"/>
          <w:color w:val="222222"/>
          <w:sz w:val="21"/>
          <w:szCs w:val="21"/>
          <w:shd w:val="clear" w:color="auto" w:fill="FFFFFF"/>
        </w:rPr>
        <w:t>and 92.</w:t>
      </w:r>
      <w:r w:rsidR="00946F49">
        <w:rPr>
          <w:rFonts w:ascii="Arial" w:hAnsi="Arial" w:cs="Arial"/>
          <w:color w:val="222222"/>
          <w:sz w:val="21"/>
          <w:szCs w:val="21"/>
          <w:shd w:val="clear" w:color="auto" w:fill="FFFFFF"/>
        </w:rPr>
        <w:t>81</w:t>
      </w:r>
      <w:r w:rsidR="00001CAE">
        <w:rPr>
          <w:rFonts w:ascii="Arial" w:hAnsi="Arial" w:cs="Arial"/>
          <w:color w:val="222222"/>
          <w:sz w:val="21"/>
          <w:szCs w:val="21"/>
          <w:shd w:val="clear" w:color="auto" w:fill="FFFFFF"/>
        </w:rPr>
        <w:t>% accuracy.</w:t>
      </w:r>
    </w:p>
    <w:p w:rsidR="0067350E" w:rsidRDefault="0067350E" w:rsidP="0067350E">
      <w:pPr>
        <w:rPr>
          <w:sz w:val="28"/>
          <w:szCs w:val="28"/>
        </w:rPr>
      </w:pPr>
      <w:r>
        <w:rPr>
          <w:sz w:val="28"/>
          <w:szCs w:val="28"/>
        </w:rPr>
        <w:t xml:space="preserve">Problem definition </w:t>
      </w:r>
    </w:p>
    <w:p w:rsidR="0067350E" w:rsidRDefault="0067350E" w:rsidP="0067350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We worked on ‘</w:t>
      </w:r>
      <w:r w:rsidR="00392329">
        <w:rPr>
          <w:rFonts w:ascii="Arial" w:hAnsi="Arial" w:cs="Arial"/>
          <w:color w:val="222222"/>
          <w:sz w:val="21"/>
          <w:szCs w:val="21"/>
          <w:shd w:val="clear" w:color="auto" w:fill="FFFFFF"/>
        </w:rPr>
        <w:t>housepricedata.csv’ as provided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3923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This data set comprises of </w:t>
      </w:r>
      <w:r w:rsidR="00001CAE">
        <w:rPr>
          <w:rFonts w:ascii="Arial" w:hAnsi="Arial" w:cs="Arial"/>
          <w:color w:val="222222"/>
          <w:sz w:val="21"/>
          <w:szCs w:val="21"/>
          <w:shd w:val="clear" w:color="auto" w:fill="FFFFFF"/>
        </w:rPr>
        <w:t>10 features each of 1460 houses and a binary class indicating whether the price of the house is above or below the market’s median price. Th</w:t>
      </w:r>
      <w:r w:rsidR="00FC7180">
        <w:rPr>
          <w:rFonts w:ascii="Arial" w:hAnsi="Arial" w:cs="Arial"/>
          <w:color w:val="222222"/>
          <w:sz w:val="21"/>
          <w:szCs w:val="21"/>
          <w:shd w:val="clear" w:color="auto" w:fill="FFFFFF"/>
        </w:rPr>
        <w:t>e given features of a house are:</w:t>
      </w:r>
    </w:p>
    <w:tbl>
      <w:tblPr>
        <w:tblStyle w:val="TableGrid"/>
        <w:tblW w:w="0" w:type="auto"/>
        <w:tblInd w:w="1300" w:type="dxa"/>
        <w:tblLook w:val="04A0" w:firstRow="1" w:lastRow="0" w:firstColumn="1" w:lastColumn="0" w:noHBand="0" w:noVBand="1"/>
      </w:tblPr>
      <w:tblGrid>
        <w:gridCol w:w="3217"/>
        <w:gridCol w:w="3217"/>
      </w:tblGrid>
      <w:tr w:rsidR="00FC7180" w:rsidTr="00FC7180">
        <w:trPr>
          <w:trHeight w:val="245"/>
        </w:trPr>
        <w:tc>
          <w:tcPr>
            <w:tcW w:w="3217" w:type="dxa"/>
          </w:tcPr>
          <w:p w:rsidR="00FC7180" w:rsidRPr="00FC7180" w:rsidRDefault="00FC7180" w:rsidP="00FC7180">
            <w:pPr>
              <w:jc w:val="center"/>
              <w:rPr>
                <w:rFonts w:ascii="Arial" w:hAnsi="Arial" w:cs="Arial"/>
                <w:b/>
                <w:color w:val="222222"/>
                <w:sz w:val="21"/>
                <w:szCs w:val="21"/>
                <w:shd w:val="clear" w:color="auto" w:fill="FFFFFF"/>
              </w:rPr>
            </w:pPr>
            <w:r w:rsidRPr="00FC7180">
              <w:rPr>
                <w:rFonts w:ascii="Arial" w:hAnsi="Arial" w:cs="Arial"/>
                <w:b/>
                <w:color w:val="222222"/>
                <w:sz w:val="21"/>
                <w:szCs w:val="21"/>
                <w:shd w:val="clear" w:color="auto" w:fill="FFFFFF"/>
              </w:rPr>
              <w:t>Variable</w:t>
            </w:r>
          </w:p>
        </w:tc>
        <w:tc>
          <w:tcPr>
            <w:tcW w:w="3217" w:type="dxa"/>
          </w:tcPr>
          <w:p w:rsidR="00FC7180" w:rsidRPr="00FC7180" w:rsidRDefault="00FC7180" w:rsidP="00FC7180">
            <w:pPr>
              <w:jc w:val="center"/>
              <w:rPr>
                <w:rFonts w:ascii="Arial" w:hAnsi="Arial" w:cs="Arial"/>
                <w:b/>
                <w:color w:val="222222"/>
                <w:sz w:val="21"/>
                <w:szCs w:val="21"/>
                <w:shd w:val="clear" w:color="auto" w:fill="FFFFFF"/>
              </w:rPr>
            </w:pPr>
            <w:r w:rsidRPr="00FC7180">
              <w:rPr>
                <w:rFonts w:ascii="Arial" w:hAnsi="Arial" w:cs="Arial"/>
                <w:b/>
                <w:color w:val="222222"/>
                <w:sz w:val="21"/>
                <w:szCs w:val="21"/>
                <w:shd w:val="clear" w:color="auto" w:fill="FFFFFF"/>
              </w:rPr>
              <w:t>Nature</w:t>
            </w:r>
          </w:p>
        </w:tc>
      </w:tr>
      <w:tr w:rsidR="00FC7180" w:rsidTr="00FC7180">
        <w:trPr>
          <w:trHeight w:val="245"/>
        </w:trPr>
        <w:tc>
          <w:tcPr>
            <w:tcW w:w="3217" w:type="dxa"/>
          </w:tcPr>
          <w:p w:rsidR="00FC7180" w:rsidRDefault="00FC7180" w:rsidP="00FC7180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LotArea</w:t>
            </w:r>
          </w:p>
        </w:tc>
        <w:tc>
          <w:tcPr>
            <w:tcW w:w="3217" w:type="dxa"/>
          </w:tcPr>
          <w:p w:rsidR="00FC7180" w:rsidRDefault="00FC7180" w:rsidP="00FC7180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Continuous</w:t>
            </w:r>
          </w:p>
        </w:tc>
      </w:tr>
      <w:tr w:rsidR="00FC7180" w:rsidTr="00FC7180">
        <w:trPr>
          <w:trHeight w:val="255"/>
        </w:trPr>
        <w:tc>
          <w:tcPr>
            <w:tcW w:w="3217" w:type="dxa"/>
          </w:tcPr>
          <w:p w:rsidR="00FC7180" w:rsidRDefault="00FC7180" w:rsidP="00FC7180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OverallQual</w:t>
            </w:r>
            <w:proofErr w:type="spellEnd"/>
          </w:p>
        </w:tc>
        <w:tc>
          <w:tcPr>
            <w:tcW w:w="3217" w:type="dxa"/>
          </w:tcPr>
          <w:p w:rsidR="00FC7180" w:rsidRDefault="00FC7180" w:rsidP="00FC7180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Discrete</w:t>
            </w:r>
          </w:p>
        </w:tc>
      </w:tr>
      <w:tr w:rsidR="00FC7180" w:rsidTr="00FC7180">
        <w:trPr>
          <w:trHeight w:val="245"/>
        </w:trPr>
        <w:tc>
          <w:tcPr>
            <w:tcW w:w="3217" w:type="dxa"/>
          </w:tcPr>
          <w:p w:rsidR="00FC7180" w:rsidRDefault="00FC7180" w:rsidP="00FC7180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OverallCond</w:t>
            </w:r>
            <w:proofErr w:type="spellEnd"/>
          </w:p>
        </w:tc>
        <w:tc>
          <w:tcPr>
            <w:tcW w:w="3217" w:type="dxa"/>
          </w:tcPr>
          <w:p w:rsidR="00FC7180" w:rsidRDefault="00FC7180" w:rsidP="00FC7180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Discrete</w:t>
            </w:r>
          </w:p>
        </w:tc>
      </w:tr>
      <w:tr w:rsidR="00FC7180" w:rsidTr="00FC7180">
        <w:trPr>
          <w:trHeight w:val="245"/>
        </w:trPr>
        <w:tc>
          <w:tcPr>
            <w:tcW w:w="3217" w:type="dxa"/>
          </w:tcPr>
          <w:p w:rsidR="00FC7180" w:rsidRDefault="00FC7180" w:rsidP="00FC7180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TotalBsmtSF</w:t>
            </w:r>
            <w:proofErr w:type="spellEnd"/>
          </w:p>
        </w:tc>
        <w:tc>
          <w:tcPr>
            <w:tcW w:w="3217" w:type="dxa"/>
          </w:tcPr>
          <w:p w:rsidR="00FC7180" w:rsidRDefault="00FC7180" w:rsidP="00FC7180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Continuous</w:t>
            </w:r>
          </w:p>
        </w:tc>
      </w:tr>
      <w:tr w:rsidR="00FC7180" w:rsidTr="00FC7180">
        <w:trPr>
          <w:trHeight w:val="245"/>
        </w:trPr>
        <w:tc>
          <w:tcPr>
            <w:tcW w:w="3217" w:type="dxa"/>
          </w:tcPr>
          <w:p w:rsidR="00FC7180" w:rsidRDefault="00FC7180" w:rsidP="00FC7180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FullBath</w:t>
            </w:r>
            <w:proofErr w:type="spellEnd"/>
          </w:p>
        </w:tc>
        <w:tc>
          <w:tcPr>
            <w:tcW w:w="3217" w:type="dxa"/>
          </w:tcPr>
          <w:p w:rsidR="00FC7180" w:rsidRDefault="00FC7180" w:rsidP="00FC7180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Discrete</w:t>
            </w:r>
          </w:p>
        </w:tc>
      </w:tr>
      <w:tr w:rsidR="00FC7180" w:rsidTr="00FC7180">
        <w:trPr>
          <w:trHeight w:val="245"/>
        </w:trPr>
        <w:tc>
          <w:tcPr>
            <w:tcW w:w="3217" w:type="dxa"/>
          </w:tcPr>
          <w:p w:rsidR="00FC7180" w:rsidRDefault="00FC7180" w:rsidP="00FC7180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HalfBath</w:t>
            </w:r>
            <w:proofErr w:type="spellEnd"/>
          </w:p>
        </w:tc>
        <w:tc>
          <w:tcPr>
            <w:tcW w:w="3217" w:type="dxa"/>
          </w:tcPr>
          <w:p w:rsidR="00FC7180" w:rsidRDefault="00FC7180" w:rsidP="00FC7180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Discrete</w:t>
            </w:r>
          </w:p>
        </w:tc>
      </w:tr>
      <w:tr w:rsidR="00FC7180" w:rsidTr="00FC7180">
        <w:trPr>
          <w:trHeight w:val="255"/>
        </w:trPr>
        <w:tc>
          <w:tcPr>
            <w:tcW w:w="3217" w:type="dxa"/>
          </w:tcPr>
          <w:p w:rsidR="00FC7180" w:rsidRDefault="00FC7180" w:rsidP="00FC7180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BedroomAbvGr</w:t>
            </w:r>
            <w:proofErr w:type="spellEnd"/>
          </w:p>
        </w:tc>
        <w:tc>
          <w:tcPr>
            <w:tcW w:w="3217" w:type="dxa"/>
          </w:tcPr>
          <w:p w:rsidR="00FC7180" w:rsidRDefault="00FC7180" w:rsidP="00FC7180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Discrete</w:t>
            </w:r>
          </w:p>
        </w:tc>
      </w:tr>
      <w:tr w:rsidR="00FC7180" w:rsidTr="00FC7180">
        <w:trPr>
          <w:trHeight w:val="245"/>
        </w:trPr>
        <w:tc>
          <w:tcPr>
            <w:tcW w:w="3217" w:type="dxa"/>
          </w:tcPr>
          <w:p w:rsidR="00FC7180" w:rsidRDefault="00FC7180" w:rsidP="00FC7180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TotRmsAbvGr</w:t>
            </w:r>
            <w:proofErr w:type="spellEnd"/>
          </w:p>
        </w:tc>
        <w:tc>
          <w:tcPr>
            <w:tcW w:w="3217" w:type="dxa"/>
          </w:tcPr>
          <w:p w:rsidR="00FC7180" w:rsidRDefault="00FC7180" w:rsidP="00FC7180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Discrete</w:t>
            </w:r>
          </w:p>
        </w:tc>
      </w:tr>
      <w:tr w:rsidR="00FC7180" w:rsidTr="00FC7180">
        <w:trPr>
          <w:trHeight w:val="245"/>
        </w:trPr>
        <w:tc>
          <w:tcPr>
            <w:tcW w:w="3217" w:type="dxa"/>
          </w:tcPr>
          <w:p w:rsidR="00FC7180" w:rsidRDefault="00FC7180" w:rsidP="00FC7180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Fireplaces</w:t>
            </w:r>
          </w:p>
        </w:tc>
        <w:tc>
          <w:tcPr>
            <w:tcW w:w="3217" w:type="dxa"/>
          </w:tcPr>
          <w:p w:rsidR="00FC7180" w:rsidRDefault="00FC7180" w:rsidP="00FC7180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Discrete</w:t>
            </w:r>
          </w:p>
        </w:tc>
      </w:tr>
      <w:tr w:rsidR="00FC7180" w:rsidTr="00FC7180">
        <w:trPr>
          <w:trHeight w:val="245"/>
        </w:trPr>
        <w:tc>
          <w:tcPr>
            <w:tcW w:w="3217" w:type="dxa"/>
          </w:tcPr>
          <w:p w:rsidR="00FC7180" w:rsidRDefault="00FC7180" w:rsidP="00FC7180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GarageArea</w:t>
            </w:r>
            <w:proofErr w:type="spellEnd"/>
          </w:p>
        </w:tc>
        <w:tc>
          <w:tcPr>
            <w:tcW w:w="3217" w:type="dxa"/>
          </w:tcPr>
          <w:p w:rsidR="00FC7180" w:rsidRDefault="00FC7180" w:rsidP="00FC7180">
            <w:pPr>
              <w:jc w:val="center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Continuous</w:t>
            </w:r>
          </w:p>
        </w:tc>
      </w:tr>
    </w:tbl>
    <w:p w:rsidR="00FC7180" w:rsidRDefault="00FC7180" w:rsidP="0067350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C7180" w:rsidRDefault="00FC7180" w:rsidP="0067350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And, discrete class variable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AboveMedianPrice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6B726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which is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one of 1(above) or 0(below).</w:t>
      </w:r>
      <w:proofErr w:type="gramEnd"/>
    </w:p>
    <w:p w:rsidR="0067350E" w:rsidRDefault="0067350E" w:rsidP="0067350E">
      <w:pPr>
        <w:rPr>
          <w:sz w:val="28"/>
          <w:szCs w:val="28"/>
        </w:rPr>
      </w:pPr>
      <w:r>
        <w:rPr>
          <w:sz w:val="28"/>
          <w:szCs w:val="28"/>
        </w:rPr>
        <w:t>Methodology</w:t>
      </w:r>
    </w:p>
    <w:p w:rsidR="00FC7180" w:rsidRDefault="003F05AE" w:rsidP="0067350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 stored</w:t>
      </w:r>
      <w:r w:rsidR="00FC7180">
        <w:rPr>
          <w:rFonts w:ascii="Arial" w:hAnsi="Arial" w:cs="Arial"/>
          <w:sz w:val="21"/>
          <w:szCs w:val="21"/>
        </w:rPr>
        <w:t xml:space="preserve"> the data</w:t>
      </w:r>
      <w:r>
        <w:rPr>
          <w:rFonts w:ascii="Arial" w:hAnsi="Arial" w:cs="Arial"/>
          <w:sz w:val="21"/>
          <w:szCs w:val="21"/>
        </w:rPr>
        <w:t xml:space="preserve"> set</w:t>
      </w:r>
      <w:r w:rsidR="00FC7180">
        <w:rPr>
          <w:rFonts w:ascii="Arial" w:hAnsi="Arial" w:cs="Arial"/>
          <w:sz w:val="21"/>
          <w:szCs w:val="21"/>
        </w:rPr>
        <w:t xml:space="preserve"> in a 2-dimensial</w:t>
      </w:r>
      <w:r>
        <w:rPr>
          <w:rFonts w:ascii="Arial" w:hAnsi="Arial" w:cs="Arial"/>
          <w:sz w:val="21"/>
          <w:szCs w:val="21"/>
        </w:rPr>
        <w:t xml:space="preserve"> numpy</w:t>
      </w:r>
      <w:r w:rsidR="00FC7180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array of shape (1460</w:t>
      </w:r>
      <w:proofErr w:type="gramStart"/>
      <w:r>
        <w:rPr>
          <w:rFonts w:ascii="Arial" w:hAnsi="Arial" w:cs="Arial"/>
          <w:sz w:val="21"/>
          <w:szCs w:val="21"/>
        </w:rPr>
        <w:t>,11</w:t>
      </w:r>
      <w:proofErr w:type="gramEnd"/>
      <w:r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  <w:lang w:val="en-US"/>
        </w:rPr>
        <w:t xml:space="preserve"> and </w:t>
      </w:r>
      <w:r>
        <w:rPr>
          <w:rFonts w:ascii="Arial" w:hAnsi="Arial" w:cs="Arial"/>
          <w:sz w:val="21"/>
          <w:szCs w:val="21"/>
        </w:rPr>
        <w:t xml:space="preserve">segregated the dataset into feature transposed array of shape (10,1460) and targeted variable of shape (1,1460). We then scaled the features to bring down their mean and variance to 0 and 1 each respectively. A careful 80-20 split is followed after that </w:t>
      </w:r>
      <w:r w:rsidR="006B7263">
        <w:rPr>
          <w:rFonts w:ascii="Arial" w:hAnsi="Arial" w:cs="Arial"/>
          <w:sz w:val="21"/>
          <w:szCs w:val="21"/>
        </w:rPr>
        <w:t>to</w:t>
      </w:r>
      <w:r>
        <w:rPr>
          <w:rFonts w:ascii="Arial" w:hAnsi="Arial" w:cs="Arial"/>
          <w:sz w:val="21"/>
          <w:szCs w:val="21"/>
        </w:rPr>
        <w:t xml:space="preserve"> ensure relative mapping doesn’t change.</w:t>
      </w:r>
      <w:r w:rsidR="006B7263">
        <w:rPr>
          <w:rFonts w:ascii="Arial" w:hAnsi="Arial" w:cs="Arial"/>
          <w:sz w:val="21"/>
          <w:szCs w:val="21"/>
        </w:rPr>
        <w:t xml:space="preserve"> </w:t>
      </w:r>
    </w:p>
    <w:p w:rsidR="001F4B65" w:rsidRDefault="006B7263" w:rsidP="0067350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We designed a multilayer feed forward deep network of </w:t>
      </w:r>
      <w:r w:rsidR="001F4B65">
        <w:rPr>
          <w:rFonts w:ascii="Arial" w:hAnsi="Arial" w:cs="Arial"/>
          <w:sz w:val="21"/>
          <w:szCs w:val="21"/>
        </w:rPr>
        <w:t>6 layers.</w:t>
      </w:r>
    </w:p>
    <w:p w:rsidR="001F4B65" w:rsidRDefault="001F4B65" w:rsidP="0067350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Input layer comprises of 10 nodes corresponding to each input feature of the house and output layer consists of just 1 node predicting 0 or 1. Specifications of layers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F4B65" w:rsidTr="001F4B65">
        <w:tc>
          <w:tcPr>
            <w:tcW w:w="3080" w:type="dxa"/>
          </w:tcPr>
          <w:p w:rsidR="001F4B65" w:rsidRDefault="001F4B65" w:rsidP="001F4B6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Layer</w:t>
            </w:r>
          </w:p>
        </w:tc>
        <w:tc>
          <w:tcPr>
            <w:tcW w:w="3081" w:type="dxa"/>
          </w:tcPr>
          <w:p w:rsidR="001F4B65" w:rsidRDefault="001F4B65" w:rsidP="001F4B6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Nodes</w:t>
            </w:r>
          </w:p>
        </w:tc>
        <w:tc>
          <w:tcPr>
            <w:tcW w:w="3081" w:type="dxa"/>
          </w:tcPr>
          <w:p w:rsidR="001F4B65" w:rsidRDefault="001F4B65" w:rsidP="001F4B6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Activation function</w:t>
            </w:r>
          </w:p>
        </w:tc>
      </w:tr>
      <w:tr w:rsidR="001F4B65" w:rsidTr="001F4B65">
        <w:tc>
          <w:tcPr>
            <w:tcW w:w="3080" w:type="dxa"/>
          </w:tcPr>
          <w:p w:rsidR="001F4B65" w:rsidRDefault="001F4B65" w:rsidP="001F4B6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Input layer</w:t>
            </w:r>
          </w:p>
        </w:tc>
        <w:tc>
          <w:tcPr>
            <w:tcW w:w="3081" w:type="dxa"/>
          </w:tcPr>
          <w:p w:rsidR="001F4B65" w:rsidRDefault="001F4B65" w:rsidP="001F4B6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3081" w:type="dxa"/>
          </w:tcPr>
          <w:p w:rsidR="001F4B65" w:rsidRDefault="001F4B65" w:rsidP="001F4B6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</w:p>
        </w:tc>
      </w:tr>
      <w:tr w:rsidR="001F4B65" w:rsidTr="001F4B65">
        <w:tc>
          <w:tcPr>
            <w:tcW w:w="3080" w:type="dxa"/>
          </w:tcPr>
          <w:p w:rsidR="001F4B65" w:rsidRDefault="001F4B65" w:rsidP="001F4B6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Hidden Layer 1</w:t>
            </w:r>
          </w:p>
        </w:tc>
        <w:tc>
          <w:tcPr>
            <w:tcW w:w="3081" w:type="dxa"/>
          </w:tcPr>
          <w:p w:rsidR="001F4B65" w:rsidRDefault="001F4B65" w:rsidP="001F4B6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64</w:t>
            </w:r>
          </w:p>
        </w:tc>
        <w:tc>
          <w:tcPr>
            <w:tcW w:w="3081" w:type="dxa"/>
          </w:tcPr>
          <w:p w:rsidR="001F4B65" w:rsidRDefault="001F4B65" w:rsidP="001F4B6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ReLU</w:t>
            </w:r>
          </w:p>
        </w:tc>
      </w:tr>
      <w:tr w:rsidR="001F4B65" w:rsidTr="001F4B65">
        <w:tc>
          <w:tcPr>
            <w:tcW w:w="3080" w:type="dxa"/>
          </w:tcPr>
          <w:p w:rsidR="001F4B65" w:rsidRDefault="001F4B65" w:rsidP="001F4B6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Hidden Layer 2</w:t>
            </w:r>
          </w:p>
        </w:tc>
        <w:tc>
          <w:tcPr>
            <w:tcW w:w="3081" w:type="dxa"/>
          </w:tcPr>
          <w:p w:rsidR="001F4B65" w:rsidRDefault="001F4B65" w:rsidP="001F4B6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32</w:t>
            </w:r>
          </w:p>
        </w:tc>
        <w:tc>
          <w:tcPr>
            <w:tcW w:w="3081" w:type="dxa"/>
          </w:tcPr>
          <w:p w:rsidR="001F4B65" w:rsidRDefault="001F4B65" w:rsidP="001F4B6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ReLU</w:t>
            </w:r>
          </w:p>
        </w:tc>
      </w:tr>
      <w:tr w:rsidR="001F4B65" w:rsidTr="001F4B65">
        <w:tc>
          <w:tcPr>
            <w:tcW w:w="3080" w:type="dxa"/>
          </w:tcPr>
          <w:p w:rsidR="001F4B65" w:rsidRDefault="001F4B65" w:rsidP="001F4B6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Hidden Layer 3</w:t>
            </w:r>
          </w:p>
        </w:tc>
        <w:tc>
          <w:tcPr>
            <w:tcW w:w="3081" w:type="dxa"/>
          </w:tcPr>
          <w:p w:rsidR="001F4B65" w:rsidRDefault="001F4B65" w:rsidP="001F4B6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16</w:t>
            </w:r>
          </w:p>
        </w:tc>
        <w:tc>
          <w:tcPr>
            <w:tcW w:w="3081" w:type="dxa"/>
          </w:tcPr>
          <w:p w:rsidR="001F4B65" w:rsidRDefault="001F4B65" w:rsidP="001F4B6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ReLU</w:t>
            </w:r>
          </w:p>
        </w:tc>
      </w:tr>
      <w:tr w:rsidR="001F4B65" w:rsidTr="001F4B65">
        <w:tc>
          <w:tcPr>
            <w:tcW w:w="3080" w:type="dxa"/>
          </w:tcPr>
          <w:p w:rsidR="001F4B65" w:rsidRDefault="001F4B65" w:rsidP="001F4B6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Hidden Layer 4</w:t>
            </w:r>
          </w:p>
        </w:tc>
        <w:tc>
          <w:tcPr>
            <w:tcW w:w="3081" w:type="dxa"/>
          </w:tcPr>
          <w:p w:rsidR="001F4B65" w:rsidRDefault="001F4B65" w:rsidP="001F4B6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</w:t>
            </w:r>
          </w:p>
        </w:tc>
        <w:tc>
          <w:tcPr>
            <w:tcW w:w="3081" w:type="dxa"/>
          </w:tcPr>
          <w:p w:rsidR="001F4B65" w:rsidRDefault="001F4B65" w:rsidP="001F4B6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ReLU</w:t>
            </w:r>
          </w:p>
        </w:tc>
      </w:tr>
      <w:tr w:rsidR="001F4B65" w:rsidTr="001F4B65">
        <w:tc>
          <w:tcPr>
            <w:tcW w:w="3080" w:type="dxa"/>
          </w:tcPr>
          <w:p w:rsidR="001F4B65" w:rsidRDefault="001F4B65" w:rsidP="001F4B6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Hidden Layer 5</w:t>
            </w:r>
          </w:p>
        </w:tc>
        <w:tc>
          <w:tcPr>
            <w:tcW w:w="3081" w:type="dxa"/>
          </w:tcPr>
          <w:p w:rsidR="001F4B65" w:rsidRDefault="001F4B65" w:rsidP="001F4B6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3081" w:type="dxa"/>
          </w:tcPr>
          <w:p w:rsidR="001F4B65" w:rsidRDefault="001F4B65" w:rsidP="001F4B6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ReLU</w:t>
            </w:r>
          </w:p>
        </w:tc>
      </w:tr>
      <w:tr w:rsidR="001F4B65" w:rsidTr="001F4B65">
        <w:tc>
          <w:tcPr>
            <w:tcW w:w="3080" w:type="dxa"/>
          </w:tcPr>
          <w:p w:rsidR="001F4B65" w:rsidRDefault="001F4B65" w:rsidP="001F4B6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Output Layer</w:t>
            </w:r>
          </w:p>
        </w:tc>
        <w:tc>
          <w:tcPr>
            <w:tcW w:w="3081" w:type="dxa"/>
          </w:tcPr>
          <w:p w:rsidR="001F4B65" w:rsidRDefault="001F4B65" w:rsidP="001F4B6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3081" w:type="dxa"/>
          </w:tcPr>
          <w:p w:rsidR="001F4B65" w:rsidRDefault="001F4B65" w:rsidP="001F4B65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ReLU</w:t>
            </w:r>
          </w:p>
        </w:tc>
      </w:tr>
    </w:tbl>
    <w:p w:rsidR="001F4B65" w:rsidRDefault="001F4B65" w:rsidP="0067350E">
      <w:pPr>
        <w:rPr>
          <w:rFonts w:ascii="Arial" w:hAnsi="Arial" w:cs="Arial"/>
          <w:sz w:val="21"/>
          <w:szCs w:val="21"/>
        </w:rPr>
      </w:pPr>
    </w:p>
    <w:p w:rsidR="001F4B65" w:rsidRDefault="001F4B65" w:rsidP="0067350E">
      <w:pPr>
        <w:rPr>
          <w:rFonts w:ascii="Arial" w:hAnsi="Arial" w:cs="Arial"/>
          <w:sz w:val="21"/>
          <w:szCs w:val="21"/>
        </w:rPr>
      </w:pPr>
      <w:r>
        <w:rPr>
          <w:noProof/>
          <w:lang w:eastAsia="en-IN"/>
        </w:rPr>
        <w:lastRenderedPageBreak/>
        <w:drawing>
          <wp:inline distT="0" distB="0" distL="0" distR="0" wp14:anchorId="27B0448F" wp14:editId="3042F379">
            <wp:extent cx="5777105" cy="21761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7108" cy="217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65" w:rsidRDefault="001F4B65" w:rsidP="0067350E">
      <w:pPr>
        <w:rPr>
          <w:rFonts w:ascii="Arial" w:hAnsi="Arial" w:cs="Arial"/>
          <w:sz w:val="21"/>
          <w:szCs w:val="21"/>
        </w:rPr>
      </w:pPr>
    </w:p>
    <w:p w:rsidR="0067350E" w:rsidRDefault="006B7263" w:rsidP="0067350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We defined our </w:t>
      </w:r>
      <w:r w:rsidR="00553B8F">
        <w:rPr>
          <w:rFonts w:ascii="Arial" w:hAnsi="Arial" w:cs="Arial"/>
          <w:sz w:val="21"/>
          <w:szCs w:val="21"/>
        </w:rPr>
        <w:t xml:space="preserve">binary Cross-entropy </w:t>
      </w:r>
      <w:r>
        <w:rPr>
          <w:rFonts w:ascii="Arial" w:hAnsi="Arial" w:cs="Arial"/>
          <w:sz w:val="21"/>
          <w:szCs w:val="21"/>
        </w:rPr>
        <w:t xml:space="preserve">cost function </w:t>
      </w:r>
      <w:r w:rsidR="00553B8F">
        <w:rPr>
          <w:rFonts w:ascii="Arial" w:hAnsi="Arial" w:cs="Arial"/>
          <w:sz w:val="21"/>
          <w:szCs w:val="21"/>
        </w:rPr>
        <w:t>including</w:t>
      </w:r>
      <w:r>
        <w:rPr>
          <w:rFonts w:ascii="Arial" w:hAnsi="Arial" w:cs="Arial"/>
          <w:sz w:val="21"/>
          <w:szCs w:val="21"/>
        </w:rPr>
        <w:t xml:space="preserve"> L2 regularization loss (parameterized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λ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vertAlign w:val="subscript"/>
        </w:rPr>
        <w:t>2</w:t>
      </w:r>
      <w:r>
        <w:rPr>
          <w:rFonts w:ascii="Arial" w:hAnsi="Arial" w:cs="Arial"/>
          <w:sz w:val="21"/>
          <w:szCs w:val="21"/>
        </w:rPr>
        <w:t>) averaged over 1168 training examples.</w:t>
      </w:r>
      <w:r w:rsidR="001F4B65">
        <w:rPr>
          <w:rFonts w:ascii="Arial" w:hAnsi="Arial" w:cs="Arial"/>
          <w:sz w:val="21"/>
          <w:szCs w:val="21"/>
        </w:rPr>
        <w:t xml:space="preserve"> An</w:t>
      </w:r>
      <w:r>
        <w:rPr>
          <w:rFonts w:ascii="Arial" w:hAnsi="Arial" w:cs="Arial"/>
          <w:sz w:val="21"/>
          <w:szCs w:val="21"/>
        </w:rPr>
        <w:t xml:space="preserve"> adaptive learning rate</w:t>
      </w:r>
      <w:r w:rsidR="0067350E">
        <w:rPr>
          <w:rFonts w:ascii="Arial" w:hAnsi="Arial" w:cs="Arial"/>
          <w:sz w:val="21"/>
          <w:szCs w:val="21"/>
        </w:rPr>
        <w:t xml:space="preserve"> optimization algorithm </w:t>
      </w:r>
      <w:r>
        <w:rPr>
          <w:rFonts w:ascii="Arial" w:hAnsi="Arial" w:cs="Arial"/>
          <w:sz w:val="21"/>
          <w:szCs w:val="21"/>
        </w:rPr>
        <w:t xml:space="preserve">– </w:t>
      </w:r>
      <w:r w:rsidRPr="006B7263">
        <w:rPr>
          <w:rFonts w:ascii="Arial" w:hAnsi="Arial" w:cs="Arial"/>
          <w:b/>
          <w:sz w:val="21"/>
          <w:szCs w:val="21"/>
        </w:rPr>
        <w:t>Adam</w:t>
      </w:r>
      <w:r w:rsidR="001F4B65">
        <w:rPr>
          <w:rFonts w:ascii="Arial" w:hAnsi="Arial" w:cs="Arial"/>
          <w:b/>
          <w:sz w:val="21"/>
          <w:szCs w:val="21"/>
        </w:rPr>
        <w:t xml:space="preserve"> </w:t>
      </w:r>
      <w:r w:rsidR="001F4B65">
        <w:rPr>
          <w:rFonts w:ascii="Arial" w:hAnsi="Arial" w:cs="Arial"/>
          <w:sz w:val="21"/>
          <w:szCs w:val="21"/>
        </w:rPr>
        <w:t>is used</w:t>
      </w:r>
      <w:r>
        <w:rPr>
          <w:rFonts w:ascii="Arial" w:hAnsi="Arial" w:cs="Arial"/>
          <w:sz w:val="21"/>
          <w:szCs w:val="21"/>
        </w:rPr>
        <w:t xml:space="preserve"> </w:t>
      </w:r>
      <w:r w:rsidR="0067350E">
        <w:rPr>
          <w:rFonts w:ascii="Arial" w:hAnsi="Arial" w:cs="Arial"/>
          <w:sz w:val="21"/>
          <w:szCs w:val="21"/>
        </w:rPr>
        <w:t>to find the weights and bias</w:t>
      </w:r>
      <w:r w:rsidR="00553B8F">
        <w:rPr>
          <w:rFonts w:ascii="Arial" w:hAnsi="Arial" w:cs="Arial"/>
          <w:sz w:val="21"/>
          <w:szCs w:val="21"/>
        </w:rPr>
        <w:t>es</w:t>
      </w:r>
      <w:r w:rsidR="0067350E">
        <w:rPr>
          <w:rFonts w:ascii="Arial" w:hAnsi="Arial" w:cs="Arial"/>
          <w:sz w:val="21"/>
          <w:szCs w:val="21"/>
        </w:rPr>
        <w:t xml:space="preserve"> minimizing </w:t>
      </w:r>
      <w:r w:rsidR="00553B8F">
        <w:rPr>
          <w:rFonts w:ascii="Arial" w:hAnsi="Arial" w:cs="Arial"/>
          <w:sz w:val="21"/>
          <w:szCs w:val="21"/>
        </w:rPr>
        <w:t>this cost function</w:t>
      </w:r>
      <w:r w:rsidR="0067350E">
        <w:rPr>
          <w:rFonts w:ascii="Arial" w:hAnsi="Arial" w:cs="Arial"/>
          <w:sz w:val="21"/>
          <w:szCs w:val="21"/>
        </w:rPr>
        <w:t xml:space="preserve">. We used python’s scientific computing library Numpy for </w:t>
      </w:r>
      <w:r w:rsidR="0067350E" w:rsidRPr="00B854D7">
        <w:rPr>
          <w:rFonts w:ascii="Arial" w:hAnsi="Arial" w:cs="Arial"/>
          <w:b/>
          <w:i/>
          <w:sz w:val="21"/>
          <w:szCs w:val="21"/>
        </w:rPr>
        <w:t>Vectorized</w:t>
      </w:r>
      <w:r w:rsidR="0067350E" w:rsidRPr="00B854D7">
        <w:rPr>
          <w:rFonts w:ascii="Arial" w:hAnsi="Arial" w:cs="Arial"/>
          <w:b/>
          <w:sz w:val="21"/>
          <w:szCs w:val="21"/>
        </w:rPr>
        <w:t xml:space="preserve"> </w:t>
      </w:r>
      <w:r w:rsidR="0067350E">
        <w:rPr>
          <w:rFonts w:ascii="Arial" w:hAnsi="Arial" w:cs="Arial"/>
          <w:sz w:val="21"/>
          <w:szCs w:val="21"/>
        </w:rPr>
        <w:t xml:space="preserve">implementation allowing each epoch to pass through complete training set at once without 2 explicit for-loops which speeded up the training up to 300 times. </w:t>
      </w:r>
      <w:r w:rsidR="00BF6DF9">
        <w:rPr>
          <w:rFonts w:ascii="Arial" w:hAnsi="Arial" w:cs="Arial"/>
          <w:sz w:val="21"/>
          <w:szCs w:val="21"/>
        </w:rPr>
        <w:t xml:space="preserve">One explicit for-loop is (mandatory) for forward and backward propagation from layers to layers. </w:t>
      </w:r>
      <w:r w:rsidR="00CF7F9C">
        <w:rPr>
          <w:rFonts w:ascii="Arial" w:hAnsi="Arial" w:cs="Arial"/>
          <w:sz w:val="21"/>
          <w:szCs w:val="21"/>
        </w:rPr>
        <w:t xml:space="preserve">Since, we are using ReLU as our activation function in hidden units </w:t>
      </w:r>
      <w:r w:rsidR="00CF7F9C" w:rsidRPr="00CF7F9C">
        <w:rPr>
          <w:rFonts w:ascii="Arial" w:hAnsi="Arial" w:cs="Arial"/>
          <w:b/>
          <w:sz w:val="21"/>
          <w:szCs w:val="21"/>
        </w:rPr>
        <w:t>He-initialization</w:t>
      </w:r>
      <w:r w:rsidR="00CF7F9C">
        <w:rPr>
          <w:rFonts w:ascii="Arial" w:hAnsi="Arial" w:cs="Arial"/>
          <w:i/>
          <w:sz w:val="21"/>
          <w:szCs w:val="21"/>
        </w:rPr>
        <w:t xml:space="preserve"> </w:t>
      </w:r>
      <w:r w:rsidR="00CF7F9C">
        <w:rPr>
          <w:rFonts w:ascii="Arial" w:hAnsi="Arial" w:cs="Arial"/>
          <w:sz w:val="21"/>
          <w:szCs w:val="21"/>
        </w:rPr>
        <w:t xml:space="preserve">is used. </w:t>
      </w:r>
      <w:r w:rsidR="0067350E">
        <w:rPr>
          <w:rFonts w:ascii="Arial" w:hAnsi="Arial" w:cs="Arial"/>
          <w:sz w:val="21"/>
          <w:szCs w:val="21"/>
        </w:rPr>
        <w:t xml:space="preserve">We </w:t>
      </w:r>
      <w:r w:rsidR="00BF6DF9">
        <w:rPr>
          <w:rFonts w:ascii="Arial" w:hAnsi="Arial" w:cs="Arial"/>
          <w:sz w:val="21"/>
          <w:szCs w:val="21"/>
        </w:rPr>
        <w:t xml:space="preserve">embedded </w:t>
      </w:r>
      <w:r w:rsidR="00E432D7">
        <w:rPr>
          <w:rFonts w:ascii="Arial" w:hAnsi="Arial" w:cs="Arial"/>
          <w:sz w:val="21"/>
          <w:szCs w:val="21"/>
        </w:rPr>
        <w:t xml:space="preserve">orthogonally </w:t>
      </w:r>
      <w:r w:rsidR="0067350E" w:rsidRPr="00CF7F9C">
        <w:rPr>
          <w:rFonts w:ascii="Arial" w:hAnsi="Arial" w:cs="Arial"/>
          <w:b/>
          <w:sz w:val="21"/>
          <w:szCs w:val="21"/>
        </w:rPr>
        <w:t>L2 regularization</w:t>
      </w:r>
      <w:r w:rsidR="0067350E">
        <w:rPr>
          <w:rFonts w:ascii="Arial" w:hAnsi="Arial" w:cs="Arial"/>
          <w:sz w:val="21"/>
          <w:szCs w:val="21"/>
        </w:rPr>
        <w:t xml:space="preserve"> </w:t>
      </w:r>
      <w:r w:rsidR="00BF6DF9">
        <w:rPr>
          <w:rFonts w:ascii="Arial" w:hAnsi="Arial" w:cs="Arial"/>
          <w:sz w:val="21"/>
          <w:szCs w:val="21"/>
        </w:rPr>
        <w:t xml:space="preserve">and </w:t>
      </w:r>
      <w:r w:rsidR="00BF6DF9" w:rsidRPr="00CF7F9C">
        <w:rPr>
          <w:rFonts w:ascii="Arial" w:hAnsi="Arial" w:cs="Arial"/>
          <w:b/>
          <w:sz w:val="21"/>
          <w:szCs w:val="21"/>
        </w:rPr>
        <w:t>dropout</w:t>
      </w:r>
      <w:r w:rsidR="00BF6DF9">
        <w:rPr>
          <w:rFonts w:ascii="Arial" w:hAnsi="Arial" w:cs="Arial"/>
          <w:sz w:val="21"/>
          <w:szCs w:val="21"/>
        </w:rPr>
        <w:t xml:space="preserve"> </w:t>
      </w:r>
      <w:r w:rsidR="0067350E">
        <w:rPr>
          <w:rFonts w:ascii="Arial" w:hAnsi="Arial" w:cs="Arial"/>
          <w:sz w:val="21"/>
          <w:szCs w:val="21"/>
        </w:rPr>
        <w:t xml:space="preserve">in case high variance </w:t>
      </w:r>
      <w:r w:rsidR="00CF7F9C">
        <w:rPr>
          <w:rFonts w:ascii="Arial" w:hAnsi="Arial" w:cs="Arial"/>
          <w:sz w:val="21"/>
          <w:szCs w:val="21"/>
        </w:rPr>
        <w:t>is to be seen</w:t>
      </w:r>
      <w:r w:rsidR="0067350E">
        <w:rPr>
          <w:rFonts w:ascii="Arial" w:hAnsi="Arial" w:cs="Arial"/>
          <w:sz w:val="21"/>
          <w:szCs w:val="21"/>
        </w:rPr>
        <w:t>.</w:t>
      </w:r>
      <w:r w:rsidR="00CF7F9C">
        <w:rPr>
          <w:rFonts w:ascii="Arial" w:hAnsi="Arial" w:cs="Arial"/>
          <w:sz w:val="21"/>
          <w:szCs w:val="21"/>
        </w:rPr>
        <w:t xml:space="preserve"> Since, the number of training examples is very low and we used vectorized implement</w:t>
      </w:r>
      <w:r w:rsidR="00E432D7">
        <w:rPr>
          <w:rFonts w:ascii="Arial" w:hAnsi="Arial" w:cs="Arial"/>
          <w:sz w:val="21"/>
          <w:szCs w:val="21"/>
        </w:rPr>
        <w:t>ation</w:t>
      </w:r>
      <w:r w:rsidR="00CF7F9C">
        <w:rPr>
          <w:rFonts w:ascii="Arial" w:hAnsi="Arial" w:cs="Arial"/>
          <w:sz w:val="21"/>
          <w:szCs w:val="21"/>
        </w:rPr>
        <w:t xml:space="preserve"> we choose </w:t>
      </w:r>
      <w:r w:rsidR="00CF7F9C" w:rsidRPr="00CF7F9C">
        <w:rPr>
          <w:rFonts w:ascii="Arial" w:hAnsi="Arial" w:cs="Arial"/>
          <w:b/>
          <w:sz w:val="21"/>
          <w:szCs w:val="21"/>
        </w:rPr>
        <w:t>mini-batch size</w:t>
      </w:r>
      <w:r w:rsidR="00CF7F9C">
        <w:rPr>
          <w:rFonts w:ascii="Arial" w:hAnsi="Arial" w:cs="Arial"/>
          <w:sz w:val="21"/>
          <w:szCs w:val="21"/>
        </w:rPr>
        <w:t xml:space="preserve"> as the batch itself.</w:t>
      </w:r>
      <w:r w:rsidR="00BF6DF9">
        <w:rPr>
          <w:rFonts w:ascii="Arial" w:hAnsi="Arial" w:cs="Arial"/>
          <w:sz w:val="21"/>
          <w:szCs w:val="21"/>
        </w:rPr>
        <w:t xml:space="preserve"> We embedded </w:t>
      </w:r>
      <w:r w:rsidR="00BF6DF9" w:rsidRPr="00CF7F9C">
        <w:rPr>
          <w:rFonts w:ascii="Arial" w:hAnsi="Arial" w:cs="Arial"/>
          <w:b/>
          <w:sz w:val="21"/>
          <w:szCs w:val="21"/>
        </w:rPr>
        <w:t>learning rate decay</w:t>
      </w:r>
      <w:r w:rsidR="00BF6DF9">
        <w:rPr>
          <w:rFonts w:ascii="Arial" w:hAnsi="Arial" w:cs="Arial"/>
          <w:sz w:val="21"/>
          <w:szCs w:val="21"/>
        </w:rPr>
        <w:t xml:space="preserve"> in the model as well.</w:t>
      </w:r>
      <w:r w:rsidR="0067350E">
        <w:rPr>
          <w:rFonts w:ascii="Arial" w:hAnsi="Arial" w:cs="Arial"/>
          <w:sz w:val="21"/>
          <w:szCs w:val="21"/>
        </w:rPr>
        <w:t xml:space="preserve"> We used accuracy and f1-score as our optimizing metric and training time as satisficing metric. Hyper-parameter search was done using scaled-based grid followed by </w:t>
      </w:r>
      <w:r w:rsidR="00CF7F9C">
        <w:rPr>
          <w:rFonts w:ascii="Arial" w:hAnsi="Arial" w:cs="Arial"/>
          <w:sz w:val="21"/>
          <w:szCs w:val="21"/>
        </w:rPr>
        <w:t xml:space="preserve">course to fine </w:t>
      </w:r>
      <w:r w:rsidR="0067350E">
        <w:rPr>
          <w:rFonts w:ascii="Arial" w:hAnsi="Arial" w:cs="Arial"/>
          <w:sz w:val="21"/>
          <w:szCs w:val="21"/>
        </w:rPr>
        <w:t>random</w:t>
      </w:r>
      <w:r w:rsidR="00CF7F9C">
        <w:rPr>
          <w:rFonts w:ascii="Arial" w:hAnsi="Arial" w:cs="Arial"/>
          <w:sz w:val="21"/>
          <w:szCs w:val="21"/>
        </w:rPr>
        <w:t xml:space="preserve"> sampling scheme</w:t>
      </w:r>
      <w:r w:rsidR="0067350E">
        <w:rPr>
          <w:rFonts w:ascii="Arial" w:hAnsi="Arial" w:cs="Arial"/>
          <w:sz w:val="21"/>
          <w:szCs w:val="21"/>
        </w:rPr>
        <w:t xml:space="preserve"> grid.</w:t>
      </w:r>
      <w:r w:rsidR="00CF7F9C">
        <w:rPr>
          <w:rFonts w:ascii="Arial" w:hAnsi="Arial" w:cs="Arial"/>
          <w:sz w:val="21"/>
          <w:szCs w:val="21"/>
        </w:rPr>
        <w:t xml:space="preserve"> A caviar approach of training many networks was used t</w:t>
      </w:r>
      <w:r w:rsidR="00E432D7">
        <w:rPr>
          <w:rFonts w:ascii="Arial" w:hAnsi="Arial" w:cs="Arial"/>
          <w:sz w:val="21"/>
          <w:szCs w:val="21"/>
        </w:rPr>
        <w:t xml:space="preserve">o find the best-fitting model considering number of </w:t>
      </w:r>
      <w:proofErr w:type="spellStart"/>
      <w:r w:rsidR="00E432D7">
        <w:rPr>
          <w:rFonts w:ascii="Arial" w:hAnsi="Arial" w:cs="Arial"/>
          <w:sz w:val="21"/>
          <w:szCs w:val="21"/>
        </w:rPr>
        <w:t>hyperparameters</w:t>
      </w:r>
      <w:proofErr w:type="spellEnd"/>
      <w:r w:rsidR="00E432D7">
        <w:rPr>
          <w:rFonts w:ascii="Arial" w:hAnsi="Arial" w:cs="Arial"/>
          <w:sz w:val="21"/>
          <w:szCs w:val="21"/>
        </w:rPr>
        <w:t>.</w:t>
      </w:r>
    </w:p>
    <w:p w:rsidR="0067350E" w:rsidRDefault="0067350E" w:rsidP="0067350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 w:type="page"/>
      </w:r>
    </w:p>
    <w:p w:rsidR="0067350E" w:rsidRDefault="0067350E" w:rsidP="0067350E">
      <w:pPr>
        <w:rPr>
          <w:rFonts w:ascii="Arial" w:hAnsi="Arial" w:cs="Arial"/>
          <w:sz w:val="21"/>
          <w:szCs w:val="21"/>
        </w:rPr>
      </w:pPr>
    </w:p>
    <w:p w:rsidR="0067350E" w:rsidRDefault="0067350E" w:rsidP="0067350E">
      <w:pPr>
        <w:rPr>
          <w:sz w:val="28"/>
          <w:szCs w:val="28"/>
        </w:rPr>
      </w:pPr>
      <w:r>
        <w:rPr>
          <w:sz w:val="28"/>
          <w:szCs w:val="28"/>
        </w:rPr>
        <w:t>Results</w:t>
      </w:r>
    </w:p>
    <w:p w:rsidR="0067350E" w:rsidRPr="001459C7" w:rsidRDefault="0067350E" w:rsidP="0067350E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Without regularization:</w:t>
      </w:r>
    </w:p>
    <w:p w:rsidR="0067350E" w:rsidRDefault="0067350E" w:rsidP="0067350E">
      <w:pPr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 obtained a classifier with impressive metrics as followed:</w:t>
      </w:r>
    </w:p>
    <w:p w:rsidR="0067350E" w:rsidRDefault="00D00015" w:rsidP="0067350E">
      <w:pPr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863997" cy="6540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ric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0E" w:rsidRDefault="0067350E" w:rsidP="0067350E">
      <w:pPr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Hyper-parameter search (Metric: F1-score),</w:t>
      </w:r>
    </w:p>
    <w:p w:rsidR="0067350E" w:rsidRDefault="00946F49" w:rsidP="0067350E">
      <w:pPr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en-IN"/>
        </w:rPr>
        <w:drawing>
          <wp:inline distT="0" distB="0" distL="0" distR="0">
            <wp:extent cx="5067560" cy="33783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50E">
        <w:rPr>
          <w:rFonts w:ascii="Arial" w:hAnsi="Arial" w:cs="Arial"/>
          <w:sz w:val="21"/>
          <w:szCs w:val="21"/>
        </w:rPr>
        <w:t xml:space="preserve"> </w:t>
      </w:r>
    </w:p>
    <w:p w:rsidR="0067350E" w:rsidRDefault="0067350E" w:rsidP="0067350E">
      <w:pPr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Shows that, our best hyper-parameter are: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4"/>
        <w:gridCol w:w="4288"/>
      </w:tblGrid>
      <w:tr w:rsidR="00946F49" w:rsidTr="00946F49">
        <w:tc>
          <w:tcPr>
            <w:tcW w:w="4621" w:type="dxa"/>
          </w:tcPr>
          <w:p w:rsidR="00946F49" w:rsidRDefault="00946F49" w:rsidP="0067350E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Layers</w:t>
            </w:r>
          </w:p>
        </w:tc>
        <w:tc>
          <w:tcPr>
            <w:tcW w:w="4621" w:type="dxa"/>
          </w:tcPr>
          <w:p w:rsidR="00946F49" w:rsidRDefault="00946F49" w:rsidP="0067350E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946F49">
              <w:rPr>
                <w:rFonts w:ascii="Arial" w:hAnsi="Arial" w:cs="Arial"/>
                <w:sz w:val="21"/>
                <w:szCs w:val="21"/>
              </w:rPr>
              <w:t>[10,64,32,16,8,4,1]</w:t>
            </w:r>
          </w:p>
        </w:tc>
      </w:tr>
      <w:tr w:rsidR="00946F49" w:rsidTr="00946F49">
        <w:tc>
          <w:tcPr>
            <w:tcW w:w="4621" w:type="dxa"/>
          </w:tcPr>
          <w:p w:rsidR="00946F49" w:rsidRDefault="00946F49" w:rsidP="0067350E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Learning Rate</w:t>
            </w:r>
          </w:p>
        </w:tc>
        <w:tc>
          <w:tcPr>
            <w:tcW w:w="4621" w:type="dxa"/>
          </w:tcPr>
          <w:p w:rsidR="00946F49" w:rsidRDefault="00946F49" w:rsidP="0067350E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946F49">
              <w:rPr>
                <w:rFonts w:ascii="Arial" w:hAnsi="Arial" w:cs="Arial"/>
                <w:sz w:val="21"/>
                <w:szCs w:val="21"/>
              </w:rPr>
              <w:t>0.00009</w:t>
            </w:r>
          </w:p>
        </w:tc>
      </w:tr>
      <w:tr w:rsidR="00946F49" w:rsidTr="00946F49">
        <w:tc>
          <w:tcPr>
            <w:tcW w:w="4621" w:type="dxa"/>
          </w:tcPr>
          <w:p w:rsidR="00946F49" w:rsidRDefault="00946F49" w:rsidP="0067350E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Epochs</w:t>
            </w:r>
          </w:p>
        </w:tc>
        <w:tc>
          <w:tcPr>
            <w:tcW w:w="4621" w:type="dxa"/>
          </w:tcPr>
          <w:p w:rsidR="00946F49" w:rsidRDefault="00946F49" w:rsidP="0067350E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901</w:t>
            </w:r>
          </w:p>
        </w:tc>
      </w:tr>
      <w:tr w:rsidR="00946F49" w:rsidTr="00946F49">
        <w:tc>
          <w:tcPr>
            <w:tcW w:w="4621" w:type="dxa"/>
          </w:tcPr>
          <w:p w:rsidR="00946F49" w:rsidRDefault="00946F49" w:rsidP="0067350E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Lambda</w:t>
            </w:r>
          </w:p>
        </w:tc>
        <w:tc>
          <w:tcPr>
            <w:tcW w:w="4621" w:type="dxa"/>
          </w:tcPr>
          <w:p w:rsidR="00946F49" w:rsidRDefault="00F2424B" w:rsidP="0067350E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5e-2</w:t>
            </w:r>
          </w:p>
        </w:tc>
      </w:tr>
      <w:tr w:rsidR="00946F49" w:rsidTr="00946F49">
        <w:tc>
          <w:tcPr>
            <w:tcW w:w="4621" w:type="dxa"/>
          </w:tcPr>
          <w:p w:rsidR="00946F49" w:rsidRDefault="00F2424B" w:rsidP="0067350E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Beta1</w:t>
            </w:r>
          </w:p>
        </w:tc>
        <w:tc>
          <w:tcPr>
            <w:tcW w:w="4621" w:type="dxa"/>
          </w:tcPr>
          <w:p w:rsidR="00946F49" w:rsidRDefault="00F2424B" w:rsidP="0067350E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0.9</w:t>
            </w:r>
          </w:p>
        </w:tc>
      </w:tr>
      <w:tr w:rsidR="00946F49" w:rsidTr="00946F49">
        <w:tc>
          <w:tcPr>
            <w:tcW w:w="4621" w:type="dxa"/>
          </w:tcPr>
          <w:p w:rsidR="00946F49" w:rsidRDefault="00F2424B" w:rsidP="0067350E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Beta2</w:t>
            </w:r>
          </w:p>
        </w:tc>
        <w:tc>
          <w:tcPr>
            <w:tcW w:w="4621" w:type="dxa"/>
          </w:tcPr>
          <w:p w:rsidR="00946F49" w:rsidRDefault="00F2424B" w:rsidP="0067350E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0.9</w:t>
            </w:r>
          </w:p>
        </w:tc>
      </w:tr>
      <w:tr w:rsidR="00946F49" w:rsidTr="00946F49">
        <w:tc>
          <w:tcPr>
            <w:tcW w:w="4621" w:type="dxa"/>
          </w:tcPr>
          <w:p w:rsidR="00946F49" w:rsidRDefault="00F2424B" w:rsidP="0067350E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Decay_Rate</w:t>
            </w:r>
            <w:proofErr w:type="spellEnd"/>
          </w:p>
        </w:tc>
        <w:tc>
          <w:tcPr>
            <w:tcW w:w="4621" w:type="dxa"/>
          </w:tcPr>
          <w:p w:rsidR="00946F49" w:rsidRDefault="00F2424B" w:rsidP="0067350E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</w:tr>
      <w:tr w:rsidR="00946F49" w:rsidTr="00946F49">
        <w:tc>
          <w:tcPr>
            <w:tcW w:w="4621" w:type="dxa"/>
          </w:tcPr>
          <w:p w:rsidR="00946F49" w:rsidRDefault="00F2424B" w:rsidP="0067350E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Seed of randomisation</w:t>
            </w:r>
          </w:p>
        </w:tc>
        <w:tc>
          <w:tcPr>
            <w:tcW w:w="4621" w:type="dxa"/>
          </w:tcPr>
          <w:p w:rsidR="00946F49" w:rsidRDefault="00F2424B" w:rsidP="0067350E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</w:tr>
    </w:tbl>
    <w:p w:rsidR="00946F49" w:rsidRDefault="00946F49" w:rsidP="0067350E">
      <w:pPr>
        <w:ind w:left="720"/>
        <w:jc w:val="both"/>
        <w:rPr>
          <w:rFonts w:ascii="Arial" w:hAnsi="Arial" w:cs="Arial"/>
          <w:sz w:val="21"/>
          <w:szCs w:val="21"/>
        </w:rPr>
      </w:pPr>
    </w:p>
    <w:p w:rsidR="0067350E" w:rsidRDefault="00F2424B" w:rsidP="0067350E">
      <w:pPr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en-IN"/>
        </w:rPr>
        <w:lastRenderedPageBreak/>
        <w:drawing>
          <wp:inline distT="0" distB="0" distL="0" distR="0">
            <wp:extent cx="4261069" cy="2673487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722"/>
        <w:gridCol w:w="1700"/>
      </w:tblGrid>
      <w:tr w:rsidR="0067350E" w:rsidTr="004C5D5A">
        <w:trPr>
          <w:trHeight w:val="308"/>
        </w:trPr>
        <w:tc>
          <w:tcPr>
            <w:tcW w:w="1722" w:type="dxa"/>
          </w:tcPr>
          <w:p w:rsidR="0067350E" w:rsidRDefault="0067350E" w:rsidP="004C5D5A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Learning Rate :</w:t>
            </w:r>
          </w:p>
        </w:tc>
        <w:tc>
          <w:tcPr>
            <w:tcW w:w="1700" w:type="dxa"/>
          </w:tcPr>
          <w:p w:rsidR="0067350E" w:rsidRDefault="00F2424B" w:rsidP="004C5D5A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F2424B">
              <w:rPr>
                <w:rFonts w:ascii="Arial" w:hAnsi="Arial" w:cs="Arial"/>
                <w:sz w:val="21"/>
                <w:szCs w:val="21"/>
              </w:rPr>
              <w:t>0.00009</w:t>
            </w:r>
          </w:p>
        </w:tc>
      </w:tr>
      <w:tr w:rsidR="0067350E" w:rsidTr="004C5D5A">
        <w:trPr>
          <w:trHeight w:val="308"/>
        </w:trPr>
        <w:tc>
          <w:tcPr>
            <w:tcW w:w="1722" w:type="dxa"/>
          </w:tcPr>
          <w:p w:rsidR="0067350E" w:rsidRDefault="0067350E" w:rsidP="004C5D5A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Epochs :</w:t>
            </w:r>
          </w:p>
        </w:tc>
        <w:tc>
          <w:tcPr>
            <w:tcW w:w="1700" w:type="dxa"/>
          </w:tcPr>
          <w:p w:rsidR="0067350E" w:rsidRDefault="00F2424B" w:rsidP="004C5D5A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901</w:t>
            </w:r>
          </w:p>
        </w:tc>
      </w:tr>
    </w:tbl>
    <w:p w:rsidR="0067350E" w:rsidRPr="003230F8" w:rsidRDefault="0067350E" w:rsidP="00F2424B">
      <w:pPr>
        <w:jc w:val="both"/>
        <w:rPr>
          <w:rFonts w:ascii="Arial" w:hAnsi="Arial" w:cs="Arial"/>
          <w:i/>
          <w:sz w:val="21"/>
          <w:szCs w:val="21"/>
        </w:rPr>
      </w:pPr>
    </w:p>
    <w:p w:rsidR="0067350E" w:rsidRDefault="0067350E" w:rsidP="00673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</w:p>
    <w:p w:rsidR="00091C10" w:rsidRPr="00091C10" w:rsidRDefault="0067350E" w:rsidP="00091C1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  <w:lang w:eastAsia="en-IN"/>
        </w:rPr>
      </w:pPr>
      <w:r w:rsidRPr="0037433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ab/>
      </w:r>
      <w:r w:rsidR="00091C10">
        <w:rPr>
          <w:rFonts w:ascii="Arial" w:eastAsia="Times New Roman" w:hAnsi="Arial" w:cs="Arial"/>
          <w:sz w:val="21"/>
          <w:szCs w:val="21"/>
          <w:lang w:eastAsia="en-IN"/>
        </w:rPr>
        <w:t>Different initialization:</w:t>
      </w:r>
      <w:r w:rsidR="00091C10">
        <w:rPr>
          <w:rFonts w:ascii="Arial" w:eastAsia="Times New Roman" w:hAnsi="Arial" w:cs="Arial"/>
          <w:sz w:val="21"/>
          <w:szCs w:val="21"/>
          <w:lang w:eastAsia="en-IN"/>
        </w:rPr>
        <w:br/>
      </w:r>
    </w:p>
    <w:p w:rsidR="00091C10" w:rsidRDefault="00091C10" w:rsidP="00091C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Different seed of randomisation was used for different He-initializations, and the results varied way too much for model with our tuned hyper-parameters.</w:t>
      </w:r>
    </w:p>
    <w:p w:rsidR="00091C10" w:rsidRDefault="00091C10" w:rsidP="00091C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091C10" w:rsidRDefault="00091C10" w:rsidP="00091C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noProof/>
          <w:lang w:eastAsia="en-IN"/>
        </w:rPr>
      </w:pPr>
      <w:r>
        <w:rPr>
          <w:noProof/>
          <w:lang w:eastAsia="en-IN"/>
        </w:rPr>
        <w:t xml:space="preserve">       </w:t>
      </w:r>
      <w:r>
        <w:rPr>
          <w:noProof/>
          <w:lang w:eastAsia="en-IN"/>
        </w:rPr>
        <w:drawing>
          <wp:inline distT="0" distB="0" distL="0" distR="0" wp14:anchorId="4A5CB70B" wp14:editId="74152237">
            <wp:extent cx="3287611" cy="2034937"/>
            <wp:effectExtent l="0" t="0" r="27305" b="2286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91C10" w:rsidRDefault="00091C10" w:rsidP="00091C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noProof/>
          <w:lang w:eastAsia="en-IN"/>
        </w:rPr>
      </w:pPr>
    </w:p>
    <w:p w:rsidR="00091C10" w:rsidRDefault="00091C10" w:rsidP="00091C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noProof/>
          <w:lang w:eastAsia="en-IN"/>
        </w:rPr>
      </w:pPr>
      <w:r>
        <w:rPr>
          <w:noProof/>
          <w:lang w:eastAsia="en-IN"/>
        </w:rPr>
        <w:t>We found seed=3 as our best He-intializations.</w:t>
      </w:r>
    </w:p>
    <w:p w:rsidR="00091C10" w:rsidRDefault="00091C10" w:rsidP="00091C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noProof/>
          <w:lang w:eastAsia="en-IN"/>
        </w:rPr>
      </w:pPr>
    </w:p>
    <w:p w:rsidR="001315BA" w:rsidRDefault="00091C10" w:rsidP="00091C1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With L2 regularization:</w:t>
      </w:r>
      <w:r>
        <w:rPr>
          <w:noProof/>
          <w:lang w:eastAsia="en-IN"/>
        </w:rPr>
        <w:br/>
      </w:r>
      <w:r>
        <w:rPr>
          <w:noProof/>
          <w:lang w:eastAsia="en-IN"/>
        </w:rPr>
        <w:br/>
        <w:t>Different values of L2 reg</w:t>
      </w:r>
      <w:r w:rsidR="001315BA">
        <w:rPr>
          <w:noProof/>
          <w:lang w:eastAsia="en-IN"/>
        </w:rPr>
        <w:t xml:space="preserve">ularization parameter was tried, and we observed </w:t>
      </w:r>
      <w:r w:rsidR="001315BA" w:rsidRPr="001315BA">
        <w:rPr>
          <w:i/>
          <w:noProof/>
          <w:lang w:eastAsia="en-IN"/>
        </w:rPr>
        <w:t>high value</w:t>
      </w:r>
      <w:r w:rsidR="001315BA">
        <w:rPr>
          <w:noProof/>
          <w:lang w:eastAsia="en-IN"/>
        </w:rPr>
        <w:t xml:space="preserve"> of lambda hurt the performance but low value suited.</w:t>
      </w:r>
    </w:p>
    <w:p w:rsidR="00091C10" w:rsidRDefault="001315BA" w:rsidP="001315B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lastRenderedPageBreak/>
        <w:br/>
      </w:r>
      <w:r>
        <w:rPr>
          <w:noProof/>
          <w:lang w:eastAsia="en-IN"/>
        </w:rPr>
        <w:drawing>
          <wp:inline distT="0" distB="0" distL="0" distR="0" wp14:anchorId="75512527" wp14:editId="450B3AAF">
            <wp:extent cx="3374020" cy="2419109"/>
            <wp:effectExtent l="0" t="0" r="17145" b="1968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315BA" w:rsidRDefault="001315BA" w:rsidP="001315B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br/>
      </w:r>
    </w:p>
    <w:p w:rsidR="00091C10" w:rsidRPr="00091C10" w:rsidRDefault="001315BA" w:rsidP="00091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Though, small value of in order &lt;10</w:t>
      </w:r>
      <w:r>
        <w:rPr>
          <w:noProof/>
          <w:vertAlign w:val="superscript"/>
          <w:lang w:eastAsia="en-IN"/>
        </w:rPr>
        <w:t>-2</w:t>
      </w:r>
      <w:r>
        <w:rPr>
          <w:noProof/>
          <w:lang w:eastAsia="en-IN"/>
        </w:rPr>
        <w:t xml:space="preserve"> worked well as variance </w:t>
      </w:r>
      <w:r w:rsidRPr="001315BA">
        <w:rPr>
          <w:b/>
          <w:noProof/>
          <w:lang w:eastAsia="en-IN"/>
        </w:rPr>
        <w:t>is</w:t>
      </w:r>
      <w:r>
        <w:rPr>
          <w:noProof/>
          <w:lang w:eastAsia="en-IN"/>
        </w:rPr>
        <w:t xml:space="preserve"> o</w:t>
      </w:r>
      <w:r w:rsidR="00F2424B">
        <w:rPr>
          <w:noProof/>
          <w:lang w:eastAsia="en-IN"/>
        </w:rPr>
        <w:t>bserved, 0.05 being best.</w:t>
      </w:r>
      <w:r>
        <w:rPr>
          <w:noProof/>
          <w:vertAlign w:val="superscript"/>
          <w:lang w:eastAsia="en-IN"/>
        </w:rPr>
        <w:tab/>
      </w:r>
    </w:p>
    <w:p w:rsidR="00091C10" w:rsidRDefault="00091C10" w:rsidP="00091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</w:r>
    </w:p>
    <w:p w:rsidR="0067350E" w:rsidRDefault="0067350E" w:rsidP="00673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noProof/>
          <w:lang w:eastAsia="en-IN"/>
        </w:rPr>
      </w:pPr>
    </w:p>
    <w:p w:rsidR="000330CE" w:rsidRDefault="000330CE" w:rsidP="000330CE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 xml:space="preserve"> Different Beta1 ( of Adam ):</w:t>
      </w:r>
    </w:p>
    <w:p w:rsidR="000330CE" w:rsidRDefault="000330CE" w:rsidP="000330CE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7B7C917" wp14:editId="20AA541E">
            <wp:extent cx="3371850" cy="2085975"/>
            <wp:effectExtent l="0" t="0" r="19050" b="9525"/>
            <wp:docPr id="1" name="Chart 1" titl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330CE" w:rsidRDefault="000330CE" w:rsidP="000330CE">
      <w:pPr>
        <w:pStyle w:val="ListParagraph"/>
        <w:rPr>
          <w:noProof/>
          <w:lang w:eastAsia="en-IN"/>
        </w:rPr>
      </w:pPr>
    </w:p>
    <w:p w:rsidR="000330CE" w:rsidRDefault="000330CE" w:rsidP="000330CE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Different Beta2 ( of Adam ):</w:t>
      </w:r>
    </w:p>
    <w:p w:rsidR="000330CE" w:rsidRDefault="000330CE" w:rsidP="000330CE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br/>
      </w:r>
      <w:r>
        <w:rPr>
          <w:noProof/>
          <w:lang w:eastAsia="en-IN"/>
        </w:rPr>
        <w:drawing>
          <wp:inline distT="0" distB="0" distL="0" distR="0" wp14:anchorId="215A9C83" wp14:editId="3C9FD0A2">
            <wp:extent cx="3257550" cy="2009775"/>
            <wp:effectExtent l="0" t="0" r="19050" b="9525"/>
            <wp:docPr id="15" name="Chart 15" titl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2425C" w:rsidRDefault="00D2425C" w:rsidP="00D2425C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lastRenderedPageBreak/>
        <w:t>Dropout:</w:t>
      </w:r>
      <w:r>
        <w:rPr>
          <w:noProof/>
          <w:lang w:eastAsia="en-IN"/>
        </w:rPr>
        <w:br/>
        <w:t>We implemented dropout regularization which only hurt the performance for every value of probability of keeping the layers. So we didn’t include it in our final fiited model.</w:t>
      </w:r>
      <w:bookmarkStart w:id="0" w:name="_GoBack"/>
      <w:bookmarkEnd w:id="0"/>
    </w:p>
    <w:p w:rsidR="0067350E" w:rsidRDefault="0067350E" w:rsidP="00673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  <w:lang w:eastAsia="en-IN"/>
        </w:rPr>
      </w:pPr>
    </w:p>
    <w:p w:rsidR="0067350E" w:rsidRDefault="0067350E" w:rsidP="00673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  <w:lang w:eastAsia="en-IN"/>
        </w:rPr>
      </w:pPr>
    </w:p>
    <w:p w:rsidR="0067350E" w:rsidRDefault="0067350E" w:rsidP="0067350E">
      <w:pPr>
        <w:rPr>
          <w:sz w:val="28"/>
          <w:szCs w:val="28"/>
        </w:rPr>
      </w:pPr>
      <w:r>
        <w:rPr>
          <w:sz w:val="28"/>
          <w:szCs w:val="28"/>
        </w:rPr>
        <w:t>References</w:t>
      </w:r>
    </w:p>
    <w:p w:rsidR="0067350E" w:rsidRDefault="000330CE" w:rsidP="000330C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  <w:lang w:eastAsia="en-IN"/>
        </w:rPr>
      </w:pPr>
      <w:hyperlink r:id="rId14" w:history="1">
        <w:r w:rsidRPr="009626AE">
          <w:rPr>
            <w:rStyle w:val="Hyperlink"/>
          </w:rPr>
          <w:t>https://towardsdatascience.com/adam-latest-trends-in-deep-learning-optimization-6be9a291375c</w:t>
        </w:r>
      </w:hyperlink>
    </w:p>
    <w:p w:rsidR="000330CE" w:rsidRDefault="000330CE" w:rsidP="000330CE">
      <w:pPr>
        <w:pStyle w:val="ListParagraph"/>
        <w:numPr>
          <w:ilvl w:val="0"/>
          <w:numId w:val="3"/>
        </w:numPr>
        <w:rPr>
          <w:noProof/>
          <w:lang w:eastAsia="en-IN"/>
        </w:rPr>
      </w:pPr>
      <w:r w:rsidRPr="000330CE">
        <w:t>http://fa.bianp.net/blog/2019/evaluate_logistic/</w:t>
      </w:r>
    </w:p>
    <w:p w:rsidR="000330CE" w:rsidRDefault="000330CE" w:rsidP="000330C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  <w:lang w:eastAsia="en-IN"/>
        </w:rPr>
      </w:pPr>
      <w:hyperlink r:id="rId15" w:history="1">
        <w:r>
          <w:rPr>
            <w:rStyle w:val="Hyperlink"/>
          </w:rPr>
          <w:t>https://machinelearningmastery.com/dropout-regularization-deep-learning-models-keras/</w:t>
        </w:r>
      </w:hyperlink>
    </w:p>
    <w:p w:rsidR="000330CE" w:rsidRDefault="000330CE" w:rsidP="000330C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  <w:lang w:eastAsia="en-IN"/>
        </w:rPr>
      </w:pPr>
      <w:hyperlink r:id="rId16" w:history="1">
        <w:r w:rsidRPr="009626AE">
          <w:rPr>
            <w:rStyle w:val="Hyperlink"/>
            <w:noProof/>
            <w:lang w:eastAsia="en-IN"/>
          </w:rPr>
          <w:t>https://medium.com/octavian-ai/which-optimizer-and-learning-rate-should-i-use-for-deep-learning-5acb418f9b2</w:t>
        </w:r>
      </w:hyperlink>
    </w:p>
    <w:p w:rsidR="000330CE" w:rsidRDefault="000330CE" w:rsidP="000330C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  <w:lang w:eastAsia="en-IN"/>
        </w:rPr>
      </w:pPr>
      <w:hyperlink r:id="rId17" w:history="1">
        <w:r>
          <w:rPr>
            <w:rStyle w:val="Hyperlink"/>
          </w:rPr>
          <w:t>https://medium.com/usf-msds/deep-learning-best-practices-1-weight-initialization-14e5c0295b94</w:t>
        </w:r>
      </w:hyperlink>
    </w:p>
    <w:p w:rsidR="000330CE" w:rsidRDefault="000330CE" w:rsidP="000330C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  <w:lang w:eastAsia="en-IN"/>
        </w:rPr>
      </w:pPr>
      <w:hyperlink r:id="rId18" w:history="1">
        <w:r>
          <w:rPr>
            <w:rStyle w:val="Hyperlink"/>
          </w:rPr>
          <w:t>http://alexlenail.me/NN-SVG/index.html</w:t>
        </w:r>
      </w:hyperlink>
    </w:p>
    <w:p w:rsidR="0067350E" w:rsidRDefault="0067350E" w:rsidP="0067350E">
      <w:pPr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br w:type="page"/>
      </w:r>
    </w:p>
    <w:p w:rsidR="0067350E" w:rsidRPr="00F46B58" w:rsidRDefault="0067350E" w:rsidP="0067350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</w:p>
    <w:p w:rsidR="0067350E" w:rsidRPr="00374339" w:rsidRDefault="0067350E" w:rsidP="00673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</w:p>
    <w:p w:rsidR="0067350E" w:rsidRPr="00374339" w:rsidRDefault="0067350E" w:rsidP="0067350E">
      <w:pPr>
        <w:rPr>
          <w:rFonts w:ascii="Arial" w:hAnsi="Arial" w:cs="Arial"/>
          <w:i/>
          <w:sz w:val="21"/>
          <w:szCs w:val="21"/>
        </w:rPr>
      </w:pPr>
    </w:p>
    <w:p w:rsidR="0067350E" w:rsidRDefault="0067350E" w:rsidP="0067350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7350E" w:rsidRPr="00EA0D82" w:rsidRDefault="0067350E" w:rsidP="0067350E">
      <w:pPr>
        <w:rPr>
          <w:sz w:val="28"/>
          <w:szCs w:val="28"/>
        </w:rPr>
      </w:pPr>
    </w:p>
    <w:p w:rsidR="0067350E" w:rsidRDefault="0067350E" w:rsidP="0067350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7350E" w:rsidRPr="00351B62" w:rsidRDefault="0067350E" w:rsidP="0067350E">
      <w:pPr>
        <w:rPr>
          <w:sz w:val="24"/>
          <w:szCs w:val="24"/>
        </w:rPr>
      </w:pPr>
    </w:p>
    <w:p w:rsidR="0067350E" w:rsidRPr="00351B62" w:rsidRDefault="0067350E" w:rsidP="0067350E">
      <w:pPr>
        <w:ind w:left="1440"/>
        <w:rPr>
          <w:sz w:val="24"/>
          <w:szCs w:val="24"/>
        </w:rPr>
      </w:pPr>
    </w:p>
    <w:p w:rsidR="000C7040" w:rsidRDefault="00D2425C"/>
    <w:sectPr w:rsidR="000C7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45FA"/>
    <w:multiLevelType w:val="hybridMultilevel"/>
    <w:tmpl w:val="9EB89B6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B40C0"/>
    <w:multiLevelType w:val="hybridMultilevel"/>
    <w:tmpl w:val="8AE4E20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9A4693"/>
    <w:multiLevelType w:val="hybridMultilevel"/>
    <w:tmpl w:val="58E475D6"/>
    <w:lvl w:ilvl="0" w:tplc="4E78D4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50E"/>
    <w:rsid w:val="00001CAE"/>
    <w:rsid w:val="000330CE"/>
    <w:rsid w:val="00091C10"/>
    <w:rsid w:val="001315BA"/>
    <w:rsid w:val="001F4B65"/>
    <w:rsid w:val="00392329"/>
    <w:rsid w:val="003F05AE"/>
    <w:rsid w:val="00553B8F"/>
    <w:rsid w:val="0067350E"/>
    <w:rsid w:val="006B7263"/>
    <w:rsid w:val="00946F49"/>
    <w:rsid w:val="00BD0BCA"/>
    <w:rsid w:val="00BF6DF9"/>
    <w:rsid w:val="00C05043"/>
    <w:rsid w:val="00CF7F9C"/>
    <w:rsid w:val="00D00015"/>
    <w:rsid w:val="00D2425C"/>
    <w:rsid w:val="00E432D7"/>
    <w:rsid w:val="00F2424B"/>
    <w:rsid w:val="00FC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50E"/>
    <w:pPr>
      <w:ind w:left="720"/>
      <w:contextualSpacing/>
    </w:pPr>
  </w:style>
  <w:style w:type="table" w:styleId="TableGrid">
    <w:name w:val="Table Grid"/>
    <w:basedOn w:val="TableNormal"/>
    <w:uiPriority w:val="59"/>
    <w:rsid w:val="00673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35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5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50E"/>
    <w:pPr>
      <w:ind w:left="720"/>
      <w:contextualSpacing/>
    </w:pPr>
  </w:style>
  <w:style w:type="table" w:styleId="TableGrid">
    <w:name w:val="Table Grid"/>
    <w:basedOn w:val="TableNormal"/>
    <w:uiPriority w:val="59"/>
    <w:rsid w:val="00673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35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5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4.xml"/><Relationship Id="rId18" Type="http://schemas.openxmlformats.org/officeDocument/2006/relationships/hyperlink" Target="http://alexlenail.me/NN-SVG/index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hyperlink" Target="https://medium.com/usf-msds/deep-learning-best-practices-1-weight-initialization-14e5c0295b94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octavian-ai/which-optimizer-and-learning-rate-should-i-use-for-deep-learning-5acb418f9b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yperlink" Target="https://machinelearningmastery.com/dropout-regularization-deep-learning-models-keras/" TargetMode="Externa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owardsdatascience.com/adam-latest-trends-in-deep-learning-optimization-6be9a291375c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emars\Downloads\She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emars\Downloads\lambdavsfscore.%20(1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emars\Downloads\Sheet%20(1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emars\Downloads\Sheet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[Sheet.xlsx]Sheet1!$B$1</c:f>
              <c:strCache>
                <c:ptCount val="1"/>
                <c:pt idx="0">
                  <c:v>fscore vs seed</c:v>
                </c:pt>
              </c:strCache>
            </c:strRef>
          </c:tx>
          <c:marker>
            <c:symbol val="none"/>
          </c:marker>
          <c:xVal>
            <c:numRef>
              <c:f>[Sheet.xlsx]Sheet1!$A$2:$A$16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xVal>
          <c:yVal>
            <c:numRef>
              <c:f>[Sheet.xlsx]Sheet1!$B$2:$B$16</c:f>
              <c:numCache>
                <c:formatCode>General</c:formatCode>
                <c:ptCount val="15"/>
                <c:pt idx="0">
                  <c:v>0.89273400000000003</c:v>
                </c:pt>
                <c:pt idx="1">
                  <c:v>0.87671200000000005</c:v>
                </c:pt>
                <c:pt idx="2">
                  <c:v>0.92517000000000005</c:v>
                </c:pt>
                <c:pt idx="3">
                  <c:v>0.91216200000000003</c:v>
                </c:pt>
                <c:pt idx="4">
                  <c:v>0.88965499999999997</c:v>
                </c:pt>
                <c:pt idx="5">
                  <c:v>0.90780099999999997</c:v>
                </c:pt>
                <c:pt idx="6">
                  <c:v>0.89036499999999996</c:v>
                </c:pt>
                <c:pt idx="7">
                  <c:v>0.90410999999999997</c:v>
                </c:pt>
                <c:pt idx="8">
                  <c:v>0.89347100000000002</c:v>
                </c:pt>
                <c:pt idx="9">
                  <c:v>0.90657399999999999</c:v>
                </c:pt>
                <c:pt idx="10">
                  <c:v>0.90034400000000003</c:v>
                </c:pt>
                <c:pt idx="11">
                  <c:v>0.88339199999999996</c:v>
                </c:pt>
                <c:pt idx="12">
                  <c:v>0.88215500000000002</c:v>
                </c:pt>
                <c:pt idx="13">
                  <c:v>0.90728500000000001</c:v>
                </c:pt>
                <c:pt idx="14">
                  <c:v>0.91289200000000004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516608"/>
        <c:axId val="296518400"/>
      </c:scatterChart>
      <c:valAx>
        <c:axId val="296516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96518400"/>
        <c:crosses val="autoZero"/>
        <c:crossBetween val="midCat"/>
      </c:valAx>
      <c:valAx>
        <c:axId val="29651840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96516608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'[lambdavsfscore. (1).xlsx]Sheet1'!$B$1</c:f>
              <c:strCache>
                <c:ptCount val="1"/>
                <c:pt idx="0">
                  <c:v>F-score vs Lambda</c:v>
                </c:pt>
              </c:strCache>
            </c:strRef>
          </c:tx>
          <c:marker>
            <c:symbol val="none"/>
          </c:marker>
          <c:xVal>
            <c:numRef>
              <c:f>'[lambdavsfscore. (1).xlsx]Sheet1'!$A$2:$A$13</c:f>
              <c:numCache>
                <c:formatCode>0.00E+00</c:formatCode>
                <c:ptCount val="12"/>
                <c:pt idx="0">
                  <c:v>9.9999999999999995E-7</c:v>
                </c:pt>
                <c:pt idx="1">
                  <c:v>1.0000000000000001E-5</c:v>
                </c:pt>
                <c:pt idx="2">
                  <c:v>1E-4</c:v>
                </c:pt>
                <c:pt idx="3">
                  <c:v>1E-3</c:v>
                </c:pt>
                <c:pt idx="4">
                  <c:v>0.05</c:v>
                </c:pt>
                <c:pt idx="5">
                  <c:v>0.03</c:v>
                </c:pt>
                <c:pt idx="6">
                  <c:v>0.01</c:v>
                </c:pt>
                <c:pt idx="7">
                  <c:v>0.1</c:v>
                </c:pt>
                <c:pt idx="8" formatCode="General">
                  <c:v>0.2</c:v>
                </c:pt>
                <c:pt idx="9" formatCode="General">
                  <c:v>0.5</c:v>
                </c:pt>
                <c:pt idx="10" formatCode="General">
                  <c:v>0.8</c:v>
                </c:pt>
                <c:pt idx="11" formatCode="General">
                  <c:v>1</c:v>
                </c:pt>
              </c:numCache>
            </c:numRef>
          </c:xVal>
          <c:yVal>
            <c:numRef>
              <c:f>'[lambdavsfscore. (1).xlsx]Sheet1'!$B$2:$B$13</c:f>
              <c:numCache>
                <c:formatCode>General</c:formatCode>
                <c:ptCount val="12"/>
                <c:pt idx="0">
                  <c:v>0.92517000000000005</c:v>
                </c:pt>
                <c:pt idx="1">
                  <c:v>0.92517000000000005</c:v>
                </c:pt>
                <c:pt idx="2">
                  <c:v>0.92517000000000005</c:v>
                </c:pt>
                <c:pt idx="3">
                  <c:v>0.92517000000000005</c:v>
                </c:pt>
                <c:pt idx="4">
                  <c:v>0.92517000000000005</c:v>
                </c:pt>
                <c:pt idx="5">
                  <c:v>0.92517000000000005</c:v>
                </c:pt>
                <c:pt idx="6">
                  <c:v>0.92832800000000004</c:v>
                </c:pt>
                <c:pt idx="7">
                  <c:v>0.92832800000000004</c:v>
                </c:pt>
                <c:pt idx="8">
                  <c:v>0.92517000000000005</c:v>
                </c:pt>
                <c:pt idx="9">
                  <c:v>0.92149999999999999</c:v>
                </c:pt>
                <c:pt idx="10">
                  <c:v>0.90910000000000002</c:v>
                </c:pt>
                <c:pt idx="11">
                  <c:v>0.84768200000000005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547072"/>
        <c:axId val="296548608"/>
      </c:scatterChart>
      <c:valAx>
        <c:axId val="296547072"/>
        <c:scaling>
          <c:orientation val="minMax"/>
        </c:scaling>
        <c:delete val="0"/>
        <c:axPos val="b"/>
        <c:numFmt formatCode="0.00E+00" sourceLinked="1"/>
        <c:majorTickMark val="out"/>
        <c:minorTickMark val="none"/>
        <c:tickLblPos val="nextTo"/>
        <c:crossAx val="296548608"/>
        <c:crosses val="autoZero"/>
        <c:crossBetween val="midCat"/>
      </c:valAx>
      <c:valAx>
        <c:axId val="29654860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965470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en-IN"/>
              <a:t>F-score vs. Beta 1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'[Sheet (1).xlsx]Sheet1'!$E$1</c:f>
              <c:strCache>
                <c:ptCount val="1"/>
                <c:pt idx="0">
                  <c:v>Fscore</c:v>
                </c:pt>
              </c:strCache>
            </c:strRef>
          </c:tx>
          <c:marker>
            <c:symbol val="none"/>
          </c:marker>
          <c:cat>
            <c:numRef>
              <c:f>'[Sheet (1).xlsx]Sheet1'!$D$2:$D$16</c:f>
              <c:numCache>
                <c:formatCode>General</c:formatCode>
                <c:ptCount val="15"/>
                <c:pt idx="0">
                  <c:v>0</c:v>
                </c:pt>
                <c:pt idx="1">
                  <c:v>0.1</c:v>
                </c:pt>
                <c:pt idx="2">
                  <c:v>0.5</c:v>
                </c:pt>
                <c:pt idx="3">
                  <c:v>0.7</c:v>
                </c:pt>
                <c:pt idx="4">
                  <c:v>0.75</c:v>
                </c:pt>
                <c:pt idx="5">
                  <c:v>0.8</c:v>
                </c:pt>
                <c:pt idx="6">
                  <c:v>0.85</c:v>
                </c:pt>
                <c:pt idx="7">
                  <c:v>0.9</c:v>
                </c:pt>
                <c:pt idx="8">
                  <c:v>0.92</c:v>
                </c:pt>
                <c:pt idx="9">
                  <c:v>0.95</c:v>
                </c:pt>
                <c:pt idx="10">
                  <c:v>0.98</c:v>
                </c:pt>
                <c:pt idx="11">
                  <c:v>0.99</c:v>
                </c:pt>
                <c:pt idx="12">
                  <c:v>0.995</c:v>
                </c:pt>
                <c:pt idx="13">
                  <c:v>0.999</c:v>
                </c:pt>
              </c:numCache>
            </c:numRef>
          </c:cat>
          <c:val>
            <c:numRef>
              <c:f>'[Sheet (1).xlsx]Sheet1'!$E$2:$E$16</c:f>
              <c:numCache>
                <c:formatCode>General</c:formatCode>
                <c:ptCount val="15"/>
                <c:pt idx="0">
                  <c:v>0.92517000000000005</c:v>
                </c:pt>
                <c:pt idx="1">
                  <c:v>0.92517000000000005</c:v>
                </c:pt>
                <c:pt idx="2">
                  <c:v>0.92517000000000005</c:v>
                </c:pt>
                <c:pt idx="3">
                  <c:v>0.92517000000000005</c:v>
                </c:pt>
                <c:pt idx="4">
                  <c:v>0.92517000000000005</c:v>
                </c:pt>
                <c:pt idx="5">
                  <c:v>0.92517000000000005</c:v>
                </c:pt>
                <c:pt idx="6">
                  <c:v>0.92517000000000005</c:v>
                </c:pt>
                <c:pt idx="7">
                  <c:v>0.92517000000000005</c:v>
                </c:pt>
                <c:pt idx="8">
                  <c:v>0.92150200000000004</c:v>
                </c:pt>
                <c:pt idx="9">
                  <c:v>0.91836700000000004</c:v>
                </c:pt>
                <c:pt idx="10">
                  <c:v>0.91694399999999998</c:v>
                </c:pt>
                <c:pt idx="11">
                  <c:v>0.90344800000000003</c:v>
                </c:pt>
                <c:pt idx="12">
                  <c:v>0.83703700000000003</c:v>
                </c:pt>
                <c:pt idx="13">
                  <c:v>0.66666700000000001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6638720"/>
        <c:axId val="296653184"/>
      </c:lineChart>
      <c:catAx>
        <c:axId val="2966387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en-IN"/>
                  <a:t>beta 1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296653184"/>
        <c:crosses val="autoZero"/>
        <c:auto val="1"/>
        <c:lblAlgn val="ctr"/>
        <c:lblOffset val="100"/>
        <c:noMultiLvlLbl val="1"/>
      </c:catAx>
      <c:valAx>
        <c:axId val="296653184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en-IN"/>
                  <a:t>Fscore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296638720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en-US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en-IN"/>
              <a:t>F-score vs. Beta 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'[Sheet (1).xlsx]Sheet1'!$H$1</c:f>
              <c:strCache>
                <c:ptCount val="1"/>
                <c:pt idx="0">
                  <c:v>F-score</c:v>
                </c:pt>
              </c:strCache>
            </c:strRef>
          </c:tx>
          <c:marker>
            <c:symbol val="none"/>
          </c:marker>
          <c:cat>
            <c:numRef>
              <c:f>'[Sheet (1).xlsx]Sheet1'!$G$2:$G$15</c:f>
              <c:numCache>
                <c:formatCode>General</c:formatCode>
                <c:ptCount val="14"/>
                <c:pt idx="0">
                  <c:v>0</c:v>
                </c:pt>
                <c:pt idx="1">
                  <c:v>0.1</c:v>
                </c:pt>
                <c:pt idx="2">
                  <c:v>0.5</c:v>
                </c:pt>
                <c:pt idx="3">
                  <c:v>0.7</c:v>
                </c:pt>
                <c:pt idx="4">
                  <c:v>0.75</c:v>
                </c:pt>
                <c:pt idx="5">
                  <c:v>0.8</c:v>
                </c:pt>
                <c:pt idx="6">
                  <c:v>0.85</c:v>
                </c:pt>
                <c:pt idx="7">
                  <c:v>0.9</c:v>
                </c:pt>
                <c:pt idx="8">
                  <c:v>0.92</c:v>
                </c:pt>
                <c:pt idx="9">
                  <c:v>0.95</c:v>
                </c:pt>
                <c:pt idx="10">
                  <c:v>0.98</c:v>
                </c:pt>
                <c:pt idx="11">
                  <c:v>0.99</c:v>
                </c:pt>
                <c:pt idx="12">
                  <c:v>0.995</c:v>
                </c:pt>
                <c:pt idx="13">
                  <c:v>0.999</c:v>
                </c:pt>
              </c:numCache>
            </c:numRef>
          </c:cat>
          <c:val>
            <c:numRef>
              <c:f>'[Sheet (1).xlsx]Sheet1'!$H$2:$H$15</c:f>
              <c:numCache>
                <c:formatCode>General</c:formatCode>
                <c:ptCount val="14"/>
                <c:pt idx="1">
                  <c:v>0.92150200000000004</c:v>
                </c:pt>
                <c:pt idx="2">
                  <c:v>0.92150200000000004</c:v>
                </c:pt>
                <c:pt idx="3">
                  <c:v>0.92203400000000002</c:v>
                </c:pt>
                <c:pt idx="4">
                  <c:v>0.92517000000000005</c:v>
                </c:pt>
                <c:pt idx="5">
                  <c:v>0.92517000000000005</c:v>
                </c:pt>
                <c:pt idx="6">
                  <c:v>0.92150200000000004</c:v>
                </c:pt>
                <c:pt idx="7">
                  <c:v>0.92517000000000005</c:v>
                </c:pt>
                <c:pt idx="8">
                  <c:v>0.92150200000000004</c:v>
                </c:pt>
                <c:pt idx="9">
                  <c:v>0.92517000000000005</c:v>
                </c:pt>
                <c:pt idx="10">
                  <c:v>0.92517000000000005</c:v>
                </c:pt>
                <c:pt idx="11">
                  <c:v>0.92517000000000005</c:v>
                </c:pt>
                <c:pt idx="12">
                  <c:v>0.92517000000000005</c:v>
                </c:pt>
                <c:pt idx="13">
                  <c:v>0.92203400000000002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6801024"/>
        <c:axId val="296802944"/>
      </c:lineChart>
      <c:catAx>
        <c:axId val="296801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en-IN"/>
                  <a:t>beta 2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296802944"/>
        <c:crosses val="autoZero"/>
        <c:auto val="1"/>
        <c:lblAlgn val="ctr"/>
        <c:lblOffset val="100"/>
        <c:noMultiLvlLbl val="1"/>
      </c:catAx>
      <c:valAx>
        <c:axId val="296802944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en-IN"/>
                  <a:t>F-score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296801024"/>
        <c:crosses val="autoZero"/>
        <c:crossBetween val="between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en-US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Sheoran</dc:creator>
  <cp:lastModifiedBy>Vikas Sheoran</cp:lastModifiedBy>
  <cp:revision>3</cp:revision>
  <dcterms:created xsi:type="dcterms:W3CDTF">2020-04-29T15:05:00Z</dcterms:created>
  <dcterms:modified xsi:type="dcterms:W3CDTF">2020-04-29T18:22:00Z</dcterms:modified>
</cp:coreProperties>
</file>