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ACME CORPORATION - APAC REGION</w:t>
      </w:r>
      <w:r>
        <w:t xml:space="preserve"> </w:t>
      </w:r>
      <w:r>
        <w:t xml:space="preserve">APAC BENEFITS HANDBOOK</w:t>
      </w:r>
      <w:r>
        <w:t xml:space="preserve"> </w:t>
      </w:r>
      <w:r>
        <w:t xml:space="preserve">================================================================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APAC Benefits Handbook applies to Acme EMPLOYEES based in</w:t>
      </w:r>
      <w:r>
        <w:t xml:space="preserve"> </w:t>
      </w:r>
      <w:r>
        <w:t xml:space="preserve">and working from the People’s Republic of China, Japan, and</w:t>
      </w:r>
      <w:r>
        <w:t xml:space="preserve"> </w:t>
      </w:r>
      <w:r>
        <w:t xml:space="preserve">Taiwan. It does NOT apply to contractors, nor to personnel</w:t>
      </w:r>
      <w:r>
        <w:t xml:space="preserve"> </w:t>
      </w:r>
      <w:r>
        <w:t xml:space="preserve">working in any other location. Contractors and personnel outside</w:t>
      </w:r>
      <w:r>
        <w:t xml:space="preserve"> </w:t>
      </w:r>
      <w:r>
        <w:t xml:space="preserve">these three jurisdictions should refer to the global Acme</w:t>
      </w:r>
      <w:r>
        <w:t xml:space="preserve"> </w:t>
      </w:r>
      <w:r>
        <w:t xml:space="preserve">Employee Handbook.</w:t>
      </w:r>
    </w:p>
    <w:p>
      <w:pPr>
        <w:pStyle w:val="BodyText"/>
      </w:pPr>
      <w:r>
        <w:t xml:space="preserve">This handbook supplements the global Acme Employee Handbook with</w:t>
      </w:r>
      <w:r>
        <w:t xml:space="preserve"> </w:t>
      </w:r>
      <w:r>
        <w:t xml:space="preserve">region-specific benefits and legal provisions for the APAC</w:t>
      </w:r>
      <w:r>
        <w:t xml:space="preserve"> </w:t>
      </w:r>
      <w:r>
        <w:t xml:space="preserve">markets listed above.</w:t>
      </w:r>
    </w:p>
    <w:bookmarkEnd w:id="9"/>
    <w:bookmarkStart w:id="10" w:name="regional-benefits"/>
    <w:p>
      <w:pPr>
        <w:pStyle w:val="Heading2"/>
      </w:pPr>
      <w:r>
        <w:t xml:space="preserve">REGIONAL BENEFITS</w:t>
      </w:r>
    </w:p>
    <w:p>
      <w:pPr>
        <w:pStyle w:val="FirstParagraph"/>
      </w:pPr>
      <w:r>
        <w:t xml:space="preserve">Wellness / Gym Membership</w:t>
      </w:r>
      <w:r>
        <w:t xml:space="preserve"> </w:t>
      </w:r>
      <w:r>
        <w:t xml:space="preserve">Eligible employees in China, Japan, and Taiwan are reimbursed</w:t>
      </w:r>
      <w:r>
        <w:t xml:space="preserve"> </w:t>
      </w:r>
      <w:r>
        <w:t xml:space="preserve">for fitness facility memberships up to $30 per month (or the</w:t>
      </w:r>
      <w:r>
        <w:t xml:space="preserve"> </w:t>
      </w:r>
      <w:r>
        <w:t xml:space="preserve">local-currency equivalent) upon submission of a valid receipt.</w:t>
      </w:r>
    </w:p>
    <w:p>
      <w:pPr>
        <w:pStyle w:val="BodyText"/>
      </w:pPr>
      <w:r>
        <w:t xml:space="preserve">Paid Time Off (PTO)</w:t>
      </w:r>
      <w:r>
        <w:t xml:space="preserve"> </w:t>
      </w:r>
      <w:r>
        <w:t xml:space="preserve">Eligible employees in China, Japan, and Taiwan are entitled to</w:t>
      </w:r>
      <w:r>
        <w:t xml:space="preserve"> </w:t>
      </w:r>
      <w:r>
        <w:t xml:space="preserve">12 days of paid time off per calendar year. PTO is requested</w:t>
      </w:r>
      <w:r>
        <w:t xml:space="preserve"> </w:t>
      </w:r>
      <w:r>
        <w:t xml:space="preserve">and approved through the standard scheduling tools.</w:t>
      </w:r>
    </w:p>
    <w:bookmarkEnd w:id="10"/>
    <w:bookmarkStart w:id="11" w:name="local-law-provisions"/>
    <w:p>
      <w:pPr>
        <w:pStyle w:val="Heading2"/>
      </w:pPr>
      <w:r>
        <w:t xml:space="preserve">LOCAL LAW PROVISIONS</w:t>
      </w:r>
    </w:p>
    <w:p>
      <w:pPr>
        <w:pStyle w:val="Compact"/>
        <w:numPr>
          <w:ilvl w:val="0"/>
          <w:numId w:val="1001"/>
        </w:numPr>
      </w:pPr>
      <w:r>
        <w:t xml:space="preserve">Statutory Public Holidays: Employees observe the national and</w:t>
      </w:r>
      <w:r>
        <w:t xml:space="preserve"> </w:t>
      </w:r>
      <w:r>
        <w:t xml:space="preserve">regional statutory public holidays of their respective</w:t>
      </w:r>
      <w:r>
        <w:t xml:space="preserve"> </w:t>
      </w:r>
      <w:r>
        <w:t xml:space="preserve">jurisdiction (China, Japan, or Taiwan). These are in addition</w:t>
      </w:r>
      <w:r>
        <w:t xml:space="preserve"> </w:t>
      </w:r>
      <w:r>
        <w:t xml:space="preserve">to PTO.</w:t>
      </w:r>
    </w:p>
    <w:p>
      <w:pPr>
        <w:pStyle w:val="Compact"/>
        <w:numPr>
          <w:ilvl w:val="0"/>
          <w:numId w:val="1001"/>
        </w:numPr>
      </w:pPr>
      <w:r>
        <w:t xml:space="preserve">Statutory Minimum Entitlements: Where local labor law mandates</w:t>
      </w:r>
      <w:r>
        <w:t xml:space="preserve"> </w:t>
      </w:r>
      <w:r>
        <w:t xml:space="preserve">a benefit or entitlement that exceeds what is described here,</w:t>
      </w:r>
      <w:r>
        <w:t xml:space="preserve"> </w:t>
      </w:r>
      <w:r>
        <w:t xml:space="preserve">the statutory minimum always applies.</w:t>
      </w:r>
    </w:p>
    <w:p>
      <w:pPr>
        <w:pStyle w:val="Compact"/>
        <w:numPr>
          <w:ilvl w:val="0"/>
          <w:numId w:val="1001"/>
        </w:numPr>
      </w:pPr>
      <w:r>
        <w:t xml:space="preserve">Social Insurance &amp; Mandatory Contributions: Employer and</w:t>
      </w:r>
      <w:r>
        <w:t xml:space="preserve"> </w:t>
      </w:r>
      <w:r>
        <w:t xml:space="preserve">employee contributions to local social insurance, pension, and</w:t>
      </w:r>
      <w:r>
        <w:t xml:space="preserve"> </w:t>
      </w:r>
      <w:r>
        <w:t xml:space="preserve">related schemes are administered in accordance with the laws</w:t>
      </w:r>
      <w:r>
        <w:t xml:space="preserve"> </w:t>
      </w:r>
      <w:r>
        <w:t xml:space="preserve">of each jurisdiction.</w:t>
      </w:r>
    </w:p>
    <w:p>
      <w:pPr>
        <w:pStyle w:val="Compact"/>
        <w:numPr>
          <w:ilvl w:val="0"/>
          <w:numId w:val="1001"/>
        </w:numPr>
      </w:pPr>
      <w:r>
        <w:t xml:space="preserve">Working Hours &amp; Overtime: Standard working hours and overtime</w:t>
      </w:r>
      <w:r>
        <w:t xml:space="preserve"> </w:t>
      </w:r>
      <w:r>
        <w:t xml:space="preserve">rules follow the applicable local labor law.</w:t>
      </w:r>
    </w:p>
    <w:p>
      <w:pPr>
        <w:pStyle w:val="Compact"/>
        <w:numPr>
          <w:ilvl w:val="0"/>
          <w:numId w:val="1001"/>
        </w:numPr>
      </w:pPr>
      <w:r>
        <w:t xml:space="preserve">Data &amp; Privacy: Handling of personal data complies with the</w:t>
      </w:r>
      <w:r>
        <w:t xml:space="preserve"> </w:t>
      </w:r>
      <w:r>
        <w:t xml:space="preserve">applicable local data protection regulations.</w:t>
      </w:r>
    </w:p>
    <w:bookmarkEnd w:id="11"/>
    <w:bookmarkStart w:id="12" w:name="conflicts-and-precedence"/>
    <w:p>
      <w:pPr>
        <w:pStyle w:val="Heading2"/>
      </w:pPr>
      <w:r>
        <w:t xml:space="preserve">CONFLICTS AND PRECEDENCE</w:t>
      </w:r>
    </w:p>
    <w:p>
      <w:pPr>
        <w:pStyle w:val="FirstParagraph"/>
      </w:pPr>
      <w:r>
        <w:t xml:space="preserve">This regional handbook is read together with the global Acme</w:t>
      </w:r>
      <w:r>
        <w:t xml:space="preserve"> </w:t>
      </w:r>
      <w:r>
        <w:t xml:space="preserve">Employee Handbook. Where a conflict arises specifically with</w:t>
      </w:r>
      <w:r>
        <w:t xml:space="preserve"> </w:t>
      </w:r>
      <w:r>
        <w:t xml:space="preserve">respect to PAID TIME OFF (PTO), the LOCAL PTO POLICY set out in</w:t>
      </w:r>
      <w:r>
        <w:t xml:space="preserve"> </w:t>
      </w:r>
      <w:r>
        <w:t xml:space="preserve">this APAC Benefits Handbook TAKES PRECEDENCE over any conflicting</w:t>
      </w:r>
      <w:r>
        <w:t xml:space="preserve"> </w:t>
      </w:r>
      <w:r>
        <w:t xml:space="preserve">PTO provision in the global handbook for employees covered by</w:t>
      </w:r>
      <w:r>
        <w:t xml:space="preserve"> </w:t>
      </w:r>
      <w:r>
        <w:t xml:space="preserve">this document.</w:t>
      </w:r>
    </w:p>
    <w:p>
      <w:pPr>
        <w:pStyle w:val="BodyText"/>
      </w:pPr>
      <w:r>
        <w:t xml:space="preserve">For all other benefits, refer to the precedence rules in the</w:t>
      </w:r>
      <w:r>
        <w:t xml:space="preserve"> </w:t>
      </w:r>
      <w:r>
        <w:t xml:space="preserve">global Acme Employee Handbook. Nothing in this handbook reduces</w:t>
      </w:r>
      <w:r>
        <w:t xml:space="preserve"> </w:t>
      </w:r>
      <w:r>
        <w:t xml:space="preserve">any entitlement guaranteed by applicable local law.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For questions, contact the APAC People team.</w:t>
      </w:r>
      <w:r>
        <w:t xml:space="preserve"> </w:t>
      </w:r>
      <w:r>
        <w:t xml:space="preserve">================================================================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2026-06-20T01:39:57Z</dcterms:created>
  <dcterms:modified xsi:type="dcterms:W3CDTF">2026-06-20T01:39:57Z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