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w:t>
            </w:r>
            <w:r>
              <w:rPr>
                <w:vertAlign w:val="superscript"/>
              </w:rPr>
              <w:t xml:space="preserve">1</w:t>
            </w:r>
            <w:r>
              <w:t xml:space="preserve">, Asha Hinson</w:t>
            </w:r>
            <w:r>
              <w:rPr>
                <w:vertAlign w:val="superscript"/>
              </w:rPr>
              <w:t xml:space="preserve">1</w:t>
            </w:r>
            <w:r>
              <w:t xml:space="preserve">, &amp; Laneé Jung</w:t>
            </w:r>
            <w:r>
              <w:rPr>
                <w:vertAlign w:val="superscript"/>
              </w:rPr>
              <w:t xml:space="preserve">1</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Extant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pairs of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Further,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Barbara L Fredrickson and Roberts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for women are theorized be the strongest when it is a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is useful for studying mixed-gender interactions, but what about interactions among women? Although there is evidence that women objectify other women</w:t>
      </w:r>
      <w:r>
        <w:t xml:space="preserve"> </w:t>
      </w:r>
      <w:r>
        <w:t xml:space="preserve">(Loughnan et al., 2015a; Puvia &amp; Vaes, 2013)</w:t>
      </w:r>
      <w:r>
        <w:t xml:space="preserve">, studies investigating the process of interpersonal objectification in interactions between women is scarce.</w:t>
      </w:r>
    </w:p>
    <w:p>
      <w:pPr>
        <w:pStyle w:val="Textkrper"/>
      </w:pPr>
      <w:r>
        <w:t xml:space="preserve">Is objectification by a female interaction partner related to an increases in self-objectification for the woman being objectified? Further, does objectification by a woman have the same downstream negative consequences for women as being objectified by a male interaction partner? The current study begins to address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provides that translates the experiences of interpersonal objectification [</w:t>
      </w:r>
      <w:r>
        <w:t xml:space="preserve">Loughnan et al. (2015a)</w:t>
      </w:r>
      <w:r>
        <w:t xml:space="preserve">;</w:t>
      </w:r>
      <w:r>
        <w:t xml:space="preserve"> </w:t>
      </w:r>
      <w:r>
        <w:t xml:space="preserve">Gervais et al. (2020)</w:t>
      </w:r>
      <w:r>
        <w:t xml:space="preserve"> </w:t>
      </w:r>
      <w:r>
        <w:t xml:space="preserve">into negative mental health outcomes (e.g., interaction inauthenticity,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abopts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(Barbara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Bernard, Legrand, &amp; Klein, 2018; Calogero et al., 2011; Moradi &amp; Huang, 2008)</w:t>
      </w:r>
      <w:r>
        <w:t xml:space="preserve"> </w:t>
      </w:r>
      <w:r>
        <w:t xml:space="preserve">and is characterized by feeling like a body rather than a full self within a particular moment, instance, or context.</w:t>
      </w:r>
    </w:p>
    <w:p>
      <w:pPr>
        <w:pStyle w:val="Textkrper"/>
      </w:pPr>
      <w:r>
        <w:t xml:space="preserve">There is evidence that being objectified by another person during an interaction elicits SSO. For example,</w:t>
      </w:r>
      <w:r>
        <w:t xml:space="preserve"> </w:t>
      </w:r>
      <w:r>
        <w:t xml:space="preserve">Loughnan, Baldissarri, Spaccatini, and Elder (2017)</w:t>
      </w:r>
      <w:r>
        <w:t xml:space="preserve"> </w:t>
      </w:r>
      <w:r>
        <w:t xml:space="preserve">found that for women, imagining a time when they were objectified by another person cause reductions in human traits attributed to the self, and further, the gender of the person doing the objectification was not a moderating factor. In addition, in a face-to-face mixed-gender dyadic study,</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proximal effects of this objectification might be. We do know that objectification has more adverse consequences for women than men</w:t>
      </w:r>
      <w:r>
        <w:t xml:space="preserve"> </w:t>
      </w:r>
      <w:r>
        <w:t xml:space="preserve">(Gervais et al., 2011; Moradi &amp; Huang, 2008; Saguy et al., 2010)</w:t>
      </w:r>
      <w:r>
        <w:t xml:space="preserve">, however, if women objectify other women, perhaps even to a stronger degree than they objectify men, this woman to woman objectification might have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are likely to internalize the objectifying gaze on their physical self</w:t>
      </w:r>
      <w:r>
        <w:t xml:space="preserve"> </w:t>
      </w:r>
      <w:r>
        <w:t xml:space="preserve">(Puvia &amp; Vaes, 2013; Young, 1979)</w:t>
      </w:r>
      <w:r>
        <w:t xml:space="preser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Perhaps the most adverse negative consequence of interpersonal objectificaiton is that being objectified socializes girls and women to routinely treat themselves as objects to be looked at and evaluated</w:t>
      </w:r>
      <w:r>
        <w:t xml:space="preserve"> </w:t>
      </w:r>
      <w:r>
        <w:t xml:space="preserve">(Bartky, 1990; Berger, Cohen, &amp; Zelditch Jr, 1972; Barbara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for women of interpersonal objectification by women?</w:t>
      </w:r>
    </w:p>
    <w:p>
      <w:pPr>
        <w:pStyle w:val="Textkrper"/>
      </w:pPr>
      <w:r>
        <w:t xml:space="preserve">Researchers have also studied interpersonal objectification and self-objectification in romantic relationships</w:t>
      </w:r>
      <w:r>
        <w:t xml:space="preserve"> </w:t>
      </w:r>
      <w:r>
        <w:t xml:space="preserve">(Strelan &amp; Pagoudis, 2018)</w:t>
      </w:r>
      <w:r>
        <w:t xml:space="preserve">, in addition to interactions with strangers.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w:t>
      </w:r>
      <w:r>
        <w:t xml:space="preserve"> </w:t>
      </w:r>
      <w:r>
        <w:t xml:space="preserve">(Meltzer, 2020)</w:t>
      </w:r>
      <w:r>
        <w:t xml:space="preserve">, but less is known about first dates. An important caveat to this literature is that it is only about heterosexual relationships. A recent study has investigated the effect of self-objectification on the reduction of relationship building skills in general (including same-sex friendships)</w:t>
      </w:r>
      <w:r>
        <w:t xml:space="preserve"> </w:t>
      </w:r>
      <w:r>
        <w:t xml:space="preserve">(Terán, Jiao, &amp; Aubrey, 2020)</w:t>
      </w:r>
      <w:r>
        <w:t xml:space="preserve">. Both romantic relationships and stranger encounters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 Yilmaz &amp; Bozo, 2019)</w:t>
      </w:r>
      <w:r>
        <w:t xml:space="preserve">, but, there is evidence that women do objectify other women</w:t>
      </w:r>
      <w:r>
        <w:t xml:space="preserve"> </w:t>
      </w:r>
      <w:r>
        <w:t xml:space="preserve">(Harsey &amp; Zurbriggen, 2020; Loughnan et al., 2015a; Puvia &amp; Vaes, 2013)</w:t>
      </w:r>
      <w:r>
        <w:t xml:space="preserve"> </w:t>
      </w:r>
      <w:r>
        <w:t xml:space="preserve">and to would be helpful to understand the consequencs of this intragroup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et al., 2020)</w:t>
      </w:r>
      <w:r>
        <w:t xml:space="preserve">. This link has been justified by the literature on stigmatized-stigmatizer interactions</w:t>
      </w:r>
      <w:r>
        <w:t xml:space="preserve"> </w:t>
      </w:r>
      <w:r>
        <w:t xml:space="preserve">(M. R. Hebl &amp; Dovidio, 2005; Richeson &amp; Shelton, 2003; Shelton, Richeson, &amp; Salvatore, 2005)</w:t>
      </w:r>
      <w:r>
        <w:t xml:space="preserve">, viewing the experience of being objectified in an interaction as an identity threat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identity threat. Thus, perhaps there are fewer negative consequences when a woman is objectified by another woman, specifically,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the results are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that TSO would moderate this relationship, amplifying the positive assocaition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theorizing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 inauthenticity connection is considered exploratory given the lack of support for this connection from the literature on identity threat in intragroup interactions</w:t>
      </w:r>
      <w:r>
        <w:t xml:space="preserve"> </w:t>
      </w:r>
      <w:r>
        <w:t xml:space="preserve">(Rollero, 2016)</w:t>
      </w:r>
      <w:r>
        <w:t xml:space="preserve"> </w:t>
      </w:r>
      <w:r>
        <w:t xml:space="preserve">but support for this connection in the objectification literature</w:t>
      </w:r>
      <w:r>
        <w:t xml:space="preserve"> </w:t>
      </w:r>
      <w:r>
        <w:t xml:space="preserve">(Garcia et al., 2016; Terán et al., 2020)</w:t>
      </w:r>
      <w:r>
        <w:t xml:space="preserve">. Regardless of whether there was an association between SSO and inauthenticity, we hypothesized that feelings of inauthencity would be associated with reduced feelings of agency in romantic relationships, reduced career aspiration,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w:t>
      </w:r>
      <w:r>
        <w:rPr>
          <w:rStyle w:val="Funotenzeichen"/>
        </w:rPr>
        <w:footnoteReference w:id="30"/>
      </w:r>
      <w:r>
        <w:t xml:space="preserve"> </w:t>
      </w:r>
      <w:r>
        <w:t xml:space="preserve">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 See the analysis of differences between heteroseuxal and non-heterosexual women in levels of other-objectification of their female partners in the measures section below.</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NA</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appear in Table </w:t>
      </w:r>
      <w:r>
        <w:t xml:space="preserve">1</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(Barbara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p>
      <w:pPr>
        <w:pStyle w:val="berschrift1"/>
      </w:pPr>
      <w:bookmarkStart w:id="39" w:name="results"/>
      <w:bookmarkEnd w:id="39"/>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research document containing the analysis code and manuscript text integrated into one source file. The benefit of this integration is that the numbers reported throughout this document are softcoded into the text, ensuring that no errors were made during a workflow marked by a copy-and-paste from statistical software to word processing software. Note that here we are using the term reproducibility to mean getting the same results when running analyses again using the same 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avaliable at</w:t>
      </w:r>
      <w:r>
        <w:t xml:space="preserve"> </w:t>
      </w:r>
      <w:hyperlink r:id="rId40">
        <w:r>
          <w:rPr>
            <w:rStyle w:val="Hyperlink"/>
          </w:rPr>
          <w:t xml:space="preserve">https://github.com/kkyuchukova/object-in-action</w:t>
        </w:r>
      </w:hyperlink>
      <w:r>
        <w:t xml:space="preserve">. The data unfortunutely cannot be made publically avaliable given the dyadic nature of the observations. For example, with dyadic data, if a person who participated in the study found their own scores, using the dyad identification number, they could then see their partner’s scores and thus confidentiality would be broken.</w:t>
      </w:r>
    </w:p>
    <w:p>
      <w:pPr>
        <w:pStyle w:val="berschrift2"/>
      </w:pPr>
      <w:bookmarkStart w:id="41" w:name="analysis-strategy"/>
      <w:bookmarkEnd w:id="41"/>
      <w:r>
        <w:t xml:space="preserve">Analysis Strategy</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APIM_figure.png" id="0" name="Picture"/>
                    <pic:cNvPicPr>
                      <a:picLocks noChangeArrowheads="1" noChangeAspect="1"/>
                    </pic:cNvPicPr>
                  </pic:nvPicPr>
                  <pic:blipFill>
                    <a:blip r:embed="rId42"/>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affects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in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40">
        <w:r>
          <w:rPr>
            <w:rStyle w:val="Hyperlink"/>
          </w:rPr>
          <w:t xml:space="preserve">https://github.com/kkyuchukova/object-in-action</w:t>
        </w:r>
      </w:hyperlink>
      <w:r>
        <w:t xml:space="preserve"> </w:t>
      </w:r>
      <w:r>
        <w:t xml:space="preserve">contain model estimates obtained with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The current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Thus, we ran five APIM’s to test all the relationships (i.e., for SSO, inauthenticity, career aspirations, relationship agency, and cognitive performance as outcome variables).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analysis of the relationship between SSO and inauthenticity in this same-gender sample are considered exploratory, given that prior research points to mixed possibilities.</w:t>
      </w:r>
    </w:p>
    <w:p>
      <w:pPr>
        <w:pStyle w:val="berschrift2"/>
      </w:pPr>
      <w:bookmarkStart w:id="43" w:name="main-results"/>
      <w:bookmarkEnd w:id="43"/>
      <w:r>
        <w:t xml:space="preserve">Main Results</w:t>
      </w:r>
    </w:p>
    <w:p>
      <w:pPr>
        <w:pStyle w:val="FigureWithCaption"/>
      </w:pPr>
      <w:r>
        <w:drawing>
          <wp:inline>
            <wp:extent cx="3810000" cy="2013605"/>
            <wp:effectExtent b="0" l="0" r="0" t="0"/>
            <wp:docPr descr="Figure 2: Path Analysis Model with Estimates" title="" id="1" name="Picture"/>
            <a:graphic>
              <a:graphicData uri="http://schemas.openxmlformats.org/drawingml/2006/picture">
                <pic:pic>
                  <pic:nvPicPr>
                    <pic:cNvPr descr="SEMfigure.png" id="0" name="Picture"/>
                    <pic:cNvPicPr>
                      <a:picLocks noChangeArrowheads="1" noChangeAspect="1"/>
                    </pic:cNvPicPr>
                  </pic:nvPicPr>
                  <pic:blipFill>
                    <a:blip r:embed="rId44"/>
                    <a:stretch>
                      <a:fillRect/>
                    </a:stretch>
                  </pic:blipFill>
                  <pic:spPr bwMode="auto">
                    <a:xfrm>
                      <a:off x="0" y="0"/>
                      <a:ext cx="3810000" cy="2013605"/>
                    </a:xfrm>
                    <a:prstGeom prst="rect">
                      <a:avLst/>
                    </a:prstGeom>
                    <a:noFill/>
                    <a:ln w="9525">
                      <a:noFill/>
                      <a:headEnd/>
                      <a:tailEnd/>
                    </a:ln>
                  </pic:spPr>
                </pic:pic>
              </a:graphicData>
            </a:graphic>
          </wp:inline>
        </w:drawing>
      </w:r>
    </w:p>
    <w:p>
      <w:pPr>
        <w:pStyle w:val="ImageCaption"/>
      </w:pPr>
      <w:r>
        <w:t xml:space="preserve">Figure 2: Path Analysis Model with Estimates</w:t>
      </w:r>
    </w:p>
    <w:p>
      <w:pPr>
        <w:pStyle w:val="Compact"/>
      </w:pPr>
      <w:r>
        <w:t xml:space="preserve">Table 2:</w:t>
      </w:r>
    </w:p>
    <w:p>
      <w:pPr>
        <w:pStyle w:val="Compact"/>
      </w:pPr>
      <w:r>
        <w:rPr>
          <w:i/>
        </w:rPr>
        <w:t xml:space="preserve">Estimates from Multilevel Models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2.14</w:t>
            </w:r>
          </w:p>
        </w:tc>
        <w:tc>
          <w:p>
            <w:pPr>
              <w:pStyle w:val="Compact"/>
              <w:jc w:val="left"/>
            </w:pPr>
            <w:r>
              <w:t xml:space="preserve">0.26</w:t>
            </w:r>
          </w:p>
        </w:tc>
        <w:tc>
          <w:p>
            <w:pPr>
              <w:pStyle w:val="Compact"/>
              <w:jc w:val="left"/>
            </w:pPr>
            <w:r>
              <w:t xml:space="preserve">8.23</w:t>
            </w:r>
          </w:p>
        </w:tc>
        <w:tc>
          <w:p>
            <w:pPr>
              <w:pStyle w:val="Compact"/>
              <w:jc w:val="left"/>
            </w:pPr>
            <w:r>
              <w:t xml:space="preserve">0.00</w:t>
            </w:r>
          </w:p>
        </w:tc>
      </w:tr>
      <w:tr>
        <w:tc>
          <w:p>
            <w:pPr>
              <w:pStyle w:val="Compact"/>
              <w:jc w:val="left"/>
            </w:pPr>
            <w:r>
              <w:t xml:space="preserve">a2pSOO_A</w:t>
            </w:r>
          </w:p>
        </w:tc>
        <w:tc>
          <w:p>
            <w:pPr>
              <w:pStyle w:val="Compact"/>
              <w:jc w:val="left"/>
            </w:pPr>
            <w:r>
              <w:t xml:space="preserve">-0.16</w:t>
            </w:r>
          </w:p>
        </w:tc>
        <w:tc>
          <w:p>
            <w:pPr>
              <w:pStyle w:val="Compact"/>
              <w:jc w:val="left"/>
            </w:pPr>
            <w:r>
              <w:t xml:space="preserve">0.12</w:t>
            </w:r>
          </w:p>
        </w:tc>
        <w:tc>
          <w:p>
            <w:pPr>
              <w:pStyle w:val="Compact"/>
              <w:jc w:val="left"/>
            </w:pPr>
            <w:r>
              <w:t xml:space="preserve">-1.27</w:t>
            </w:r>
          </w:p>
        </w:tc>
        <w:tc>
          <w:p>
            <w:pPr>
              <w:pStyle w:val="Compact"/>
              <w:jc w:val="left"/>
            </w:pPr>
            <w:r>
              <w:t xml:space="preserve">0.21</w:t>
            </w:r>
          </w:p>
        </w:tc>
      </w:tr>
      <w:tr>
        <w:tc>
          <w:p>
            <w:pPr>
              <w:pStyle w:val="Compact"/>
              <w:jc w:val="left"/>
            </w:pPr>
            <w:r>
              <w:t xml:space="preserve">a2pSOO_P</w:t>
            </w:r>
          </w:p>
        </w:tc>
        <w:tc>
          <w:p>
            <w:pPr>
              <w:pStyle w:val="Compact"/>
              <w:jc w:val="left"/>
            </w:pPr>
            <w:r>
              <w:t xml:space="preserve">0.29</w:t>
            </w:r>
          </w:p>
        </w:tc>
        <w:tc>
          <w:p>
            <w:pPr>
              <w:pStyle w:val="Compact"/>
              <w:jc w:val="left"/>
            </w:pPr>
            <w:r>
              <w:t xml:space="preserve">0.12</w:t>
            </w:r>
          </w:p>
        </w:tc>
        <w:tc>
          <w:p>
            <w:pPr>
              <w:pStyle w:val="Compact"/>
              <w:jc w:val="left"/>
            </w:pPr>
            <w:r>
              <w:t xml:space="preserve">2.42</w:t>
            </w:r>
          </w:p>
        </w:tc>
        <w:tc>
          <w:p>
            <w:pPr>
              <w:pStyle w:val="Compact"/>
              <w:jc w:val="left"/>
            </w:pPr>
            <w:r>
              <w:t xml:space="preserve">0.02</w:t>
            </w:r>
          </w:p>
        </w:tc>
      </w:tr>
      <w:tr>
        <w:tc>
          <w:p>
            <w:pPr>
              <w:pStyle w:val="Compact"/>
              <w:jc w:val="left"/>
            </w:pPr>
            <w:r>
              <w:t xml:space="preserve">TSO_A</w:t>
            </w:r>
          </w:p>
        </w:tc>
        <w:tc>
          <w:p>
            <w:pPr>
              <w:pStyle w:val="Compact"/>
              <w:jc w:val="left"/>
            </w:pPr>
            <w:r>
              <w:t xml:space="preserve">0.04</w:t>
            </w:r>
          </w:p>
        </w:tc>
        <w:tc>
          <w:p>
            <w:pPr>
              <w:pStyle w:val="Compact"/>
              <w:jc w:val="left"/>
            </w:pPr>
            <w:r>
              <w:t xml:space="preserve">0.08</w:t>
            </w:r>
          </w:p>
        </w:tc>
        <w:tc>
          <w:p>
            <w:pPr>
              <w:pStyle w:val="Compact"/>
              <w:jc w:val="left"/>
            </w:pPr>
            <w:r>
              <w:t xml:space="preserve">0.49</w:t>
            </w:r>
          </w:p>
        </w:tc>
        <w:tc>
          <w:p>
            <w:pPr>
              <w:pStyle w:val="Compact"/>
              <w:jc w:val="left"/>
            </w:pPr>
            <w:r>
              <w:t xml:space="preserve">0.62</w:t>
            </w:r>
          </w:p>
        </w:tc>
      </w:tr>
      <w:tr>
        <w:tc>
          <w:p>
            <w:pPr>
              <w:pStyle w:val="Compact"/>
              <w:jc w:val="left"/>
            </w:pPr>
            <w:r>
              <w:t xml:space="preserve">smith_or_clarkSmith</w:t>
            </w:r>
          </w:p>
        </w:tc>
        <w:tc>
          <w:p>
            <w:pPr>
              <w:pStyle w:val="Compact"/>
              <w:jc w:val="left"/>
            </w:pPr>
            <w:r>
              <w:t xml:space="preserve">0.03</w:t>
            </w:r>
          </w:p>
        </w:tc>
        <w:tc>
          <w:p>
            <w:pPr>
              <w:pStyle w:val="Compact"/>
              <w:jc w:val="left"/>
            </w:pPr>
            <w:r>
              <w:t xml:space="preserve">0.27</w:t>
            </w:r>
          </w:p>
        </w:tc>
        <w:tc>
          <w:p>
            <w:pPr>
              <w:pStyle w:val="Compact"/>
              <w:jc w:val="left"/>
            </w:pPr>
            <w:r>
              <w:t xml:space="preserve">0.11</w:t>
            </w:r>
          </w:p>
        </w:tc>
        <w:tc>
          <w:p>
            <w:pPr>
              <w:pStyle w:val="Compact"/>
              <w:jc w:val="left"/>
            </w:pPr>
            <w:r>
              <w:t xml:space="preserve">0.91</w:t>
            </w:r>
          </w:p>
        </w:tc>
      </w:tr>
      <w:tr>
        <w:tc>
          <w:p>
            <w:pPr>
              <w:pStyle w:val="Compact"/>
              <w:jc w:val="left"/>
            </w:pPr>
            <w:r>
              <w:t xml:space="preserve">a2pSOO_P:TSO_A</w:t>
            </w:r>
          </w:p>
        </w:tc>
        <w:tc>
          <w:p>
            <w:pPr>
              <w:pStyle w:val="Compact"/>
              <w:jc w:val="left"/>
            </w:pPr>
            <w:r>
              <w:t xml:space="preserve">-0.02</w:t>
            </w:r>
          </w:p>
        </w:tc>
        <w:tc>
          <w:p>
            <w:pPr>
              <w:pStyle w:val="Compact"/>
              <w:jc w:val="left"/>
            </w:pPr>
            <w:r>
              <w:t xml:space="preserve">0.04</w:t>
            </w:r>
          </w:p>
        </w:tc>
        <w:tc>
          <w:p>
            <w:pPr>
              <w:pStyle w:val="Compact"/>
              <w:jc w:val="left"/>
            </w:pPr>
            <w:r>
              <w:t xml:space="preserve">-0.52</w:t>
            </w:r>
          </w:p>
        </w:tc>
        <w:tc>
          <w:p>
            <w:pPr>
              <w:pStyle w:val="Compact"/>
              <w:jc w:val="left"/>
            </w:pPr>
            <w:r>
              <w:t xml:space="preserve">0.61</w:t>
            </w:r>
          </w:p>
        </w:tc>
      </w:tr>
    </w:tbl>
    <w:p>
      <w:pPr>
        <w:pStyle w:val="Textkrper"/>
      </w:pPr>
      <w:r>
        <w:t xml:space="preserve">All model estimates and p-values are found in Table </w:t>
      </w:r>
      <w:r>
        <w:t xml:space="preserve">2</w:t>
      </w:r>
      <w:r>
        <w:t xml:space="preserve"> </w:t>
      </w:r>
      <w:r>
        <w:t xml:space="preserve">and the relationships with estimates included are depicted in Figure </w:t>
      </w:r>
      <w:r>
        <w:t xml:space="preserve">2</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berschrift1"/>
      </w:pPr>
      <w:bookmarkStart w:id="45" w:name="discussion"/>
      <w:bookmarkEnd w:id="45"/>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is also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The model used by the current study asserts that being objectified by a woman causes women to self-objectify, but it could be that women’s SSO causes them to be objectified by their interaction partner. This latter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state self-objectification that relates to being objectified by one’s partner. Objectification Theory</w:t>
      </w:r>
      <w:r>
        <w:t xml:space="preserve"> </w:t>
      </w:r>
      <w:r>
        <w:t xml:space="preserve">(Barbara L Fredrickson &amp; Roberts, 1997)</w:t>
      </w:r>
      <w:r>
        <w:t xml:space="preserve">, as well as some past experimental studies</w:t>
      </w:r>
      <w:r>
        <w:t xml:space="preserve"> </w:t>
      </w:r>
      <w:r>
        <w:t xml:space="preserve">(Saguy et al., 2010)</w:t>
      </w:r>
      <w:r>
        <w:t xml:space="preserve"> </w:t>
      </w:r>
      <w:r>
        <w:t xml:space="preserve">suggest that at least one direction of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causes women to objectify (dehumanize) other women and this link is mediated by</w:t>
      </w:r>
      <w:r>
        <w:t xml:space="preserve"> </w:t>
      </w:r>
      <w:r>
        <w:rPr>
          <w:i/>
        </w:rPr>
        <w:t xml:space="preserve">state</w:t>
      </w:r>
      <w:r>
        <w:t xml:space="preserve"> </w:t>
      </w:r>
      <w:r>
        <w:t xml:space="preserve">self-objectification. It could follow that we tend to objectify other women who objectify us and through a process of TSO causes SSO which in turn causes objectifation of one’s partner, which in turn causes one’s partner to objectify us. The current study does not provide any evidence of this alternative model, however—TSO was not significantly correlated with SSO and actor’s objectification was not correlated with partner’s 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(Barbara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Barbara L Fredrickson &amp; Roberts, 1997; Gervais, Holland, &amp; Dodd, 2013; Gervais et al., 2011)</w:t>
      </w:r>
      <w:r>
        <w:t xml:space="preserve">, and perhaps the self-objectification experienced within an interaction with a women is qualtatively different, and perhaps not as harmful, as the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be added as a moderator of the self-objectificaiton to authenticity process to help understand the circumstances that require other-objectification and SSO to have negative consequences for women.</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6" w:name="limitations-and-future-directions"/>
      <w:bookmarkEnd w:id="46"/>
      <w:r>
        <w:t xml:space="preserve">Limitations and Future Directions</w:t>
      </w:r>
    </w:p>
    <w:p>
      <w:pPr>
        <w:pStyle w:val="berschrift3"/>
      </w:pPr>
      <w:bookmarkStart w:id="47" w:name="sample-characteristics"/>
      <w:bookmarkEnd w:id="47"/>
      <w:r>
        <w:t xml:space="preserve">Sample Characteristics</w:t>
      </w:r>
    </w:p>
    <w:p>
      <w:pPr>
        <w:pStyle w:val="FirstParagraph"/>
      </w:pPr>
      <w:r>
        <w:t xml:space="preserve">In addition to being relatively small and combined across two institutions, another limitation of the current study is that the sample was comprised of Western women only. Being that self-objectification is most prevalent in Western culture</w:t>
      </w:r>
      <w:r>
        <w:t xml:space="preserve"> </w:t>
      </w:r>
      <w:r>
        <w:t xml:space="preserve">(Loughnan et al., 2015b)</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(Barbara L 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(Barbara L 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 [see CITE and CITE for exmaples].</w:t>
      </w:r>
    </w:p>
    <w:p>
      <w:pPr>
        <w:pStyle w:val="berschrift3"/>
      </w:pPr>
      <w:bookmarkStart w:id="48" w:name="sexual-objectification-and-the-objectifyers-gender"/>
      <w:bookmarkEnd w:id="48"/>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Textkrper"/>
      </w:pPr>
      <w:r>
        <w:t xml:space="preserve">Objectification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w:t>
      </w:r>
    </w:p>
    <w:p>
      <w:pPr>
        <w:pStyle w:val="berschrift3"/>
      </w:pPr>
      <w:bookmarkStart w:id="49" w:name="sexism-and-sexual-discrimination"/>
      <w:bookmarkEnd w:id="49"/>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(Barbara L. 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Barbara L Fredrickson and Roberts (1997)</w:t>
      </w:r>
      <w:r>
        <w:t xml:space="preserve"> </w:t>
      </w:r>
      <w:r>
        <w:t xml:space="preserve">is likely to create a shared vulnerability to sexual objectification and a variety of shared negative experiences as a result.</w:t>
      </w:r>
    </w:p>
    <w:p>
      <w:pPr>
        <w:pStyle w:val="berschrift1"/>
      </w:pPr>
      <w:bookmarkStart w:id="50" w:name="conclusion"/>
      <w:bookmarkEnd w:id="50"/>
      <w:r>
        <w:t xml:space="preserve">Conclusion</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Textkrper"/>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p>
    <w:p>
      <w:pPr>
        <w:pStyle w:val="berschrift1"/>
      </w:pPr>
      <w:bookmarkStart w:id="51" w:name="references"/>
      <w:bookmarkEnd w:id="51"/>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3">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4">
        <w:r>
          <w:rPr>
            <w:rStyle w:val="Hyperlink"/>
          </w:rPr>
          <w:t xml:space="preserve">10.2307/827810</w:t>
        </w:r>
      </w:hyperlink>
    </w:p>
    <w:p>
      <w:pPr>
        <w:pStyle w:val="Textkrper"/>
      </w:pPr>
      <w:r>
        <w:t xml:space="preserve">Fredrickson, B. L., &amp; Roberts, T.-A.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55">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6">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7">
        <w:r>
          <w:rPr>
            <w:rStyle w:val="Hyperlink"/>
          </w:rPr>
          <w:t xml:space="preserve">10.1177/1069072707301211</w:t>
        </w:r>
      </w:hyperlink>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8">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9">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1">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2">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3">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4">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5">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6">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7">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8">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Initially, data was collected from both same-gender and mixed-gender dyads at both institutions. Sample 1 originally consisted of 22 pairs, 12 men and 32 women. In Sample 2 there were 23 pairs made up of 43 women and one man, as well as two participants who did not identify with either gender category. To investigate only same-gender pairs of women, we limited participant data to women in both samples.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9466ff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2020-09-23T13:34:10Z</dcterms:created>
  <dcterms:modified xsi:type="dcterms:W3CDTF">2020-09-23T13:34:10Z</dcterms:modified>
</cp:coreProperties>
</file>