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CEFAT BUSINESS SCHOOL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Palette de Couleurs Officielle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Couleurs Primaires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0"/>
        <w:gridCol w:w="5640"/>
      </w:tblGrid>
      <w:tr>
        <w:trPr>
          <w:trHeight w:val="1200" w:hRule="exact"/>
        </w:trPr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252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Rouge CEFAT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FFFFFF"/>
                <w:sz w:val="22"/>
                <w:szCs w:val="22"/>
              </w:rPr>
              <w:t xml:space="preserve">#E4252D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Bleu Marine CEFAT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FFFFFF"/>
                <w:sz w:val="22"/>
                <w:szCs w:val="22"/>
              </w:rPr>
              <w:t xml:space="preserve">#1E3A5F</w:t>
            </w:r>
          </w:p>
        </w:tc>
      </w:tr>
    </w:tbl>
    <w:p>
      <w:pPr>
        <w:spacing w:before="400" w:after="20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Palette Complète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recommandé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4252D" w:val="clear"/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Rouge CEFAT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20"/>
                <w:szCs w:val="20"/>
              </w:rPr>
              <w:t xml:space="preserve">#E4252D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RGB(228, 37, 45)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Couleur primaire - Logo, CTA, accents importants, éléments d'action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Bleu Marine CEFAT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20"/>
                <w:szCs w:val="20"/>
              </w:rPr>
              <w:t xml:space="preserve">#1E3A5F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RGB(30, 58, 95)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Couleur primaire - Titres, navigation, texte principal, en-têtes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7BA7" w:val="clear"/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Bleu Clair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20"/>
                <w:szCs w:val="20"/>
              </w:rPr>
              <w:t xml:space="preserve">#4A7BA7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RGB(74, 123, 167)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Couleur secondaire - Liens, boutons secondaires, icônes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Gris Neutre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RGB(107, 114, 128)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Texte secondaire, légendes, bordures subtiles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Gris Clair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20"/>
                <w:szCs w:val="20"/>
              </w:rPr>
              <w:t xml:space="preserve">#F3F4F6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RGB(243, 244, 246)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Arrière-plans, sections alternées, cartes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Blanc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RGB(255, 255, 255)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Arrière-plan principal, espaces négatifs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23" w:val="clear"/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Rouge Foncé (Hover)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20"/>
                <w:szCs w:val="20"/>
              </w:rPr>
              <w:t xml:space="preserve">#B91C23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RGB(185, 28, 35)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États hover sur éléments rouges, accent sombre</w:t>
            </w:r>
          </w:p>
        </w:tc>
      </w:tr>
    </w:tbl>
    <w:p>
      <w:pPr>
        <w:spacing w:before="5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Guide d'Utilisation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Web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Utiliser les codes HEX dans CSS. Le rouge pour les boutons d'action (CTA), le bleu marine pour les titres et la navigation.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Print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Convertir en CMYK pour l'impression. Rouge : C0 M95 Y90 K0 | Bleu Marine : C95 M75 Y30 K20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Accessibilité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 contraste entre le bleu marine et le blanc respecte les normes WCAG AA. Éviter le rouge sur fond sombre.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Proportions Recommandées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60% — Blanc/Gris clair (arrière-plans, espaces)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30% — Bleu Marine (structure, navigation, titres)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10% — Rouge (accents, CTA, points focaux)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2025-11-27T06:43:40.679Z</dcterms:created>
  <dcterms:modified xsi:type="dcterms:W3CDTF">2025-11-27T06:43:40.680Z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