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4380085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1595949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013577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5523273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v1.42(C) Room-House.com 2021-2024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v1.42(C) Room-House.com 2021-2024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51737886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3_62493763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5_4192708518"/>
        <w:bookmarkStart w:id="4" w:name="__Fieldmark__419_1837279038"/>
        <w:bookmarkStart w:id="5" w:name="__Fieldmark__134_868473142"/>
        <w:bookmarkStart w:id="6" w:name="__Fieldmark__480_788773065"/>
        <w:bookmarkStart w:id="7" w:name="__Fieldmark__135_3573041295"/>
        <w:bookmarkStart w:id="8" w:name="__Fieldmark__133_488258861"/>
        <w:bookmarkStart w:id="9" w:name="__Fieldmark__145_2946706235"/>
        <w:bookmarkStart w:id="10" w:name="__Fieldmark__133_3440022167"/>
        <w:bookmarkStart w:id="11" w:name="__Fieldmark__133_3337917788"/>
        <w:bookmarkStart w:id="12" w:name="__Fieldmark__134_902740927"/>
        <w:bookmarkStart w:id="13" w:name="__Fieldmark__135_1033633047"/>
        <w:bookmarkStart w:id="14" w:name="__Fieldmark__136_947294094"/>
        <w:bookmarkStart w:id="15" w:name="__Fieldmark__137_3924742351"/>
        <w:bookmarkStart w:id="16" w:name="__Fieldmark__131_4067918035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они предполагают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6 гигабайт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- неотформатированный, или  с уже имеющейся файловой системой Linux и хотя бы тремя гигабайтами (3Gb)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сделайте это.</w:t>
      </w:r>
    </w:p>
    <w:p>
      <w:pPr>
        <w:pStyle w:val="Heading3"/>
        <w:numPr>
          <w:ilvl w:val="2"/>
          <w:numId w:val="2"/>
        </w:numPr>
        <w:rPr/>
      </w:pPr>
      <w:bookmarkStart w:id="17" w:name="_Toc465155185"/>
      <w:r>
        <w:rPr>
          <w:sz w:val="18"/>
          <w:lang w:val="ru-RU"/>
        </w:rPr>
        <w:t>Н</w:t>
      </w:r>
      <w:bookmarkEnd w:id="17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настройки роутера «port forwarding» - это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bCs/>
          <w:sz w:val="18"/>
          <w:lang w:val="ru-RU"/>
        </w:rPr>
        <w:t xml:space="preserve">Перенаправьте TCP порт 443 и весь диапазон 1025-65535 UDP портов с роутера на </w:t>
      </w:r>
      <w:r>
        <w:rPr>
          <w:b/>
          <w:bCs/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снаружи, пришедшие на указанные порты и static IP роутера, будут оправлены на </w:t>
      </w:r>
      <w:r>
        <w:rPr>
          <w:b w:val="false"/>
          <w:bCs w:val="false"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«192.168.0.10», или «192.168.1.201»). Кроме указанного порта 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</w:t>
      </w:r>
      <w:r>
        <w:rPr>
          <w:sz w:val="18"/>
          <w:lang w:val="ru-RU"/>
        </w:rPr>
        <w:t>Замечание 1</w:t>
      </w:r>
      <w:r>
        <w:rPr>
          <w:sz w:val="18"/>
          <w:lang w:val="ru-RU"/>
        </w:rPr>
        <w:t xml:space="preserve">: для работы по IP без использования доменного имени </w:t>
      </w:r>
      <w:r>
        <w:rPr>
          <w:sz w:val="18"/>
          <w:lang w:val="ru-RU"/>
        </w:rPr>
        <w:t>нужно добавить</w:t>
      </w:r>
      <w:r>
        <w:rPr>
          <w:sz w:val="18"/>
          <w:lang w:val="ru-RU"/>
        </w:rPr>
        <w:t xml:space="preserve"> TCP порт </w:t>
      </w:r>
      <w:r>
        <w:rPr>
          <w:sz w:val="18"/>
          <w:lang w:val="ru-RU"/>
        </w:rPr>
        <w:t xml:space="preserve">8443 </w:t>
      </w:r>
      <w:r>
        <w:rPr>
          <w:sz w:val="18"/>
          <w:lang w:val="ru-RU"/>
        </w:rPr>
        <w:t>на форвар</w:t>
      </w:r>
      <w:r>
        <w:rPr>
          <w:sz w:val="18"/>
          <w:lang w:val="ru-RU"/>
        </w:rPr>
        <w:t>д</w:t>
      </w:r>
      <w:r>
        <w:rPr>
          <w:sz w:val="18"/>
          <w:lang w:val="ru-RU"/>
        </w:rPr>
        <w:t xml:space="preserve">. </w:t>
      </w:r>
      <w:r>
        <w:rPr>
          <w:sz w:val="18"/>
          <w:lang w:val="ru-RU"/>
        </w:rPr>
        <w:t>Замечание 2</w:t>
      </w:r>
      <w:r>
        <w:rPr>
          <w:sz w:val="18"/>
          <w:lang w:val="ru-RU"/>
        </w:rPr>
        <w:t xml:space="preserve">: Номера портов могут отличаться от приведённых, в зависимости от того, какие они в настройках у прокси. Например, наш прокси для домена «room-house.com» перенаправит соответствующие https-запросы на порт роутера 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Данный ниже скрипт создаст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loop_rh_uti.vdi</w:t>
      </w:r>
      <w:r>
        <w:rPr>
          <w:sz w:val="18"/>
          <w:szCs w:val="18"/>
          <w:lang w:val="ru-RU"/>
        </w:rPr>
        <w:t xml:space="preserve">» с gihub </w:t>
      </w:r>
      <w:hyperlink r:id="rId8">
        <w:r>
          <w:rPr>
            <w:webHidden/>
            <w:rStyle w:val="InternetLink"/>
            <w:vanish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это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/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/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/>
      </w:pPr>
      <w:r>
        <w:rPr>
          <w:b/>
          <w:bCs/>
          <w:sz w:val="18"/>
          <w:szCs w:val="18"/>
        </w:rPr>
        <w:t>if [ -f /opt/loop_rh_uti.vdi ]; then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/opt/loop_rh_uti.vdi ./</w:t>
      </w:r>
    </w:p>
    <w:p>
      <w:pPr>
        <w:pStyle w:val="NoSpacing"/>
        <w:rPr/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/opt/loop_rh_uti.vdi not found. Exiting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/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RHU --ostype RedHat_64 --register --basefolder `pwd`</w:t>
      </w:r>
    </w:p>
    <w:p>
      <w:pPr>
        <w:pStyle w:val="NoSpacing"/>
        <w:rPr/>
      </w:pPr>
      <w:r>
        <w:rPr>
          <w:b/>
          <w:bCs/>
          <w:sz w:val="18"/>
          <w:szCs w:val="18"/>
        </w:rPr>
        <w:t>mv loop_rh_uti.vdi RHU/ &amp;&amp; cd RHU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RHU --memory 6144 --cpus 4 --audio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4G.vdi --size 4096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RHU --name SATA --add sata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RHU --storagectl SATA --medium loop_rh_uti.vdi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RHU --storagectl SATA --medium 4G.vdi --port 1 --type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RHU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Если скрипт после запуска отработает без ошибки, то на консоль выйдет примерно это: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удалите «плохую» машину вместе со всеми её файлами (опция «Remove/Delete all files» в меню Manager), и затем создайте её заново запуском скрипта,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данной виртуальной машины в том, что её сетевой интерфейс получает IP адрес не от роутера по DHCP, а назначается непосредственно перед загрузкой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пример «Формы загрузчика»). Также в настройках «port forwarding» роутера, в отличие от других вариантов, нужно пробрасывать порты именно на IP виртуальной машины, а не на IP адрес её host-компьютера!  Это важный момент. NB: в Linux перед запуском VirtualBox Manager и затем скрипта создания VM, убедитесь, что драйвер «</w:t>
      </w:r>
      <w:r>
        <w:rPr>
          <w:b/>
          <w:bCs/>
          <w:sz w:val="18"/>
          <w:lang w:val="ru-RU"/>
        </w:rPr>
        <w:t>vboxdrv</w:t>
      </w:r>
      <w:r>
        <w:rPr>
          <w:sz w:val="18"/>
          <w:lang w:val="ru-RU"/>
        </w:rPr>
        <w:t>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/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 предполагается, что вы работаете в Windows-аккаунте «Bob» - замените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--memory 6144 --cpus 4 --audio none --firmware efi --nic1 bridged --nictype1 virtio --bridgeadapter1 "... ( см. ниже)"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4G.vdi --size 4096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loop_rh_uti.vdi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loop_rh_uti.vdi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4G.vdi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</w:t>
      </w:r>
      <w:hyperlink r:id="rId11">
        <w:r>
          <w:rPr>
            <w:webHidden/>
            <w:rStyle w:val="InternetLink"/>
            <w:b w:val="false"/>
            <w:bCs w:val="false"/>
            <w:vanish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 файл «loop_rh_uti.vdi»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Application>LibreOffice/5.3.6.1$Linux_X86_64 LibreOffice_project/30$Build-1</Application>
  <Pages>15</Pages>
  <Words>1453</Words>
  <Characters>8545</Characters>
  <CharactersWithSpaces>9879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2024-12-27T23:47:10Z</dcterms:modified>
  <cp:revision>353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