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YÊU CẦU TẠO OIDC CLIENT</w:t>
      </w:r>
    </w:p>
    <w:p>
      <w:pPr>
        <w:pStyle w:val="Subtitle"/>
      </w:pPr>
      <w:r>
        <w:t xml:space="preserve">MEMORYOS × MYTASCO · MÔI TRƯỜNG TEST</w:t>
      </w:r>
    </w:p>
    <w:p>
      <w:pPr>
        <w:pStyle w:val="Heading1"/>
      </w:pPr>
      <w:r>
        <w:t xml:space="preserve">Mục đích</w:t>
      </w:r>
    </w:p>
    <w:p>
      <w:pPr/>
      <w:r>
        <w:t xml:space="preserve">MemoryOS dùng Keycloak làm OIDC broker cho đăng nhập Mytasco. Người dùng tiếp tục đăng nhập bằng cơ chế Mytasco hiện có, gồm cả OTP số điện thoại; MemoryOS không nhận hoặc lưu mật khẩu/OTP.</w:t>
      </w:r>
    </w:p>
    <w:p>
      <w:pPr>
        <w:pStyle w:val="Heading1"/>
      </w:pPr>
      <w:r>
        <w:t xml:space="preserve">1. Thông tin và cấu hình client</w:t>
      </w:r>
    </w:p>
    <w:tbl>
      <w:tblPr>
        <w:tblStyle w:val="TableGrid"/>
        <w:tblW w:w="9000" w:type="dxa"/>
        <w:tblLook w:val="04A0" w:firstRow="1" w:lastRow="0" w:firstColumn="0" w:lastColumn="0" w:noHBand="0" w:noVBand="1"/>
      </w:tblPr>
      <w:tblGrid>
        <w:gridCol w:w="3100"/>
        <w:gridCol w:w="5900"/>
      </w:tblGrid>
      <w:tr>
        <w:tc>
          <w:tcPr>
            <w:tcW w:w="3100" w:type="dxa"/>
            <w:shd w:val="clear" w:fill="17365D"/>
            <w:tcMar>
              <w:top w:w="100" w:type="dxa"/>
              <w:start w:w="120" w:type="dxa"/>
              <w:bottom w:w="100" w:type="dxa"/>
              <w:end w:w="120" w:type="dxa"/>
            </w:tcMar>
          </w:tcPr>
          <w:p>
            <w:pPr/>
            <w:r>
              <w:rPr>
                <w:b/>
                <w:bCs/>
              </w:rPr>
              <w:t xml:space="preserve">Thông tin</w:t>
            </w:r>
          </w:p>
        </w:tc>
        <w:tc>
          <w:tcPr>
            <w:tcW w:w="5900" w:type="dxa"/>
            <w:shd w:val="clear" w:fill="17365D"/>
            <w:tcMar>
              <w:top w:w="100" w:type="dxa"/>
              <w:start w:w="120" w:type="dxa"/>
              <w:bottom w:w="100" w:type="dxa"/>
              <w:end w:w="120" w:type="dxa"/>
            </w:tcMar>
          </w:tcPr>
          <w:p>
            <w:pPr/>
            <w:r>
              <w:rPr>
                <w:b/>
                <w:bCs/>
              </w:rPr>
              <w:t xml:space="preserve">Yêu cầu</w:t>
            </w:r>
          </w:p>
        </w:tc>
      </w:tr>
      <w:tr>
        <w:tc>
          <w:tcPr>
            <w:tcW w:w="3100" w:type="dxa"/>
            <w:tcMar>
              <w:top w:w="100" w:type="dxa"/>
              <w:start w:w="120" w:type="dxa"/>
              <w:bottom w:w="100" w:type="dxa"/>
              <w:end w:w="120" w:type="dxa"/>
            </w:tcMar>
          </w:tcPr>
          <w:p>
            <w:pPr/>
            <w:r>
              <w:t xml:space="preserve">Tên client</w:t>
            </w:r>
          </w:p>
        </w:tc>
        <w:tc>
          <w:tcPr>
            <w:tcW w:w="5900" w:type="dxa"/>
            <w:tcMar>
              <w:top w:w="100" w:type="dxa"/>
              <w:start w:w="120" w:type="dxa"/>
              <w:bottom w:w="100" w:type="dxa"/>
              <w:end w:w="120" w:type="dxa"/>
            </w:tcMar>
          </w:tcPr>
          <w:p>
            <w:pPr/>
            <w:r>
              <w:t xml:space="preserve">memoryos-test</w:t>
            </w:r>
          </w:p>
        </w:tc>
      </w:tr>
      <w:tr>
        <w:tc>
          <w:tcPr>
            <w:tcW w:w="3100" w:type="dxa"/>
            <w:tcMar>
              <w:top w:w="100" w:type="dxa"/>
              <w:start w:w="120" w:type="dxa"/>
              <w:bottom w:w="100" w:type="dxa"/>
              <w:end w:w="120" w:type="dxa"/>
            </w:tcMar>
          </w:tcPr>
          <w:p>
            <w:pPr/>
            <w:r>
              <w:t xml:space="preserve">Loại client</w:t>
            </w:r>
          </w:p>
        </w:tc>
        <w:tc>
          <w:tcPr>
            <w:tcW w:w="5900" w:type="dxa"/>
            <w:tcMar>
              <w:top w:w="100" w:type="dxa"/>
              <w:start w:w="120" w:type="dxa"/>
              <w:bottom w:w="100" w:type="dxa"/>
              <w:end w:w="120" w:type="dxa"/>
            </w:tcMar>
          </w:tcPr>
          <w:p>
            <w:pPr/>
            <w:r>
              <w:t xml:space="preserve">Confidential client</w:t>
            </w:r>
          </w:p>
        </w:tc>
      </w:tr>
      <w:tr>
        <w:tc>
          <w:tcPr>
            <w:tcW w:w="3100" w:type="dxa"/>
            <w:tcMar>
              <w:top w:w="100" w:type="dxa"/>
              <w:start w:w="120" w:type="dxa"/>
              <w:bottom w:w="100" w:type="dxa"/>
              <w:end w:w="120" w:type="dxa"/>
            </w:tcMar>
          </w:tcPr>
          <w:p>
            <w:pPr/>
            <w:r>
              <w:t xml:space="preserve">OAuth flow</w:t>
            </w:r>
          </w:p>
        </w:tc>
        <w:tc>
          <w:tcPr>
            <w:tcW w:w="5900" w:type="dxa"/>
            <w:tcMar>
              <w:top w:w="100" w:type="dxa"/>
              <w:start w:w="120" w:type="dxa"/>
              <w:bottom w:w="100" w:type="dxa"/>
              <w:end w:w="120" w:type="dxa"/>
            </w:tcMar>
          </w:tcPr>
          <w:p>
            <w:pPr/>
            <w:r>
              <w:t xml:space="preserve">Bật Standard Flow / Authorization Code Flow và PKCE S256</w:t>
            </w:r>
          </w:p>
        </w:tc>
      </w:tr>
      <w:tr>
        <w:tc>
          <w:tcPr>
            <w:tcW w:w="3100" w:type="dxa"/>
            <w:tcMar>
              <w:top w:w="100" w:type="dxa"/>
              <w:start w:w="120" w:type="dxa"/>
              <w:bottom w:w="100" w:type="dxa"/>
              <w:end w:w="120" w:type="dxa"/>
            </w:tcMar>
          </w:tcPr>
          <w:p>
            <w:pPr/>
            <w:r>
              <w:t xml:space="preserve">Thông tin cần gửi</w:t>
            </w:r>
          </w:p>
        </w:tc>
        <w:tc>
          <w:tcPr>
            <w:tcW w:w="5900" w:type="dxa"/>
            <w:tcMar>
              <w:top w:w="100" w:type="dxa"/>
              <w:start w:w="120" w:type="dxa"/>
              <w:bottom w:w="100" w:type="dxa"/>
              <w:end w:w="120" w:type="dxa"/>
            </w:tcMar>
          </w:tcPr>
          <w:p>
            <w:pPr/>
            <w:r>
              <w:t xml:space="preserve">Realm/issuer URL, OIDC Discovery URL, client_id và client_secret qua kênh quản lý secret đã thống nhất</w:t>
            </w:r>
          </w:p>
        </w:tc>
      </w:tr>
      <w:tr>
        <w:tc>
          <w:tcPr>
            <w:tcW w:w="3100" w:type="dxa"/>
            <w:tcMar>
              <w:top w:w="100" w:type="dxa"/>
              <w:start w:w="120" w:type="dxa"/>
              <w:bottom w:w="100" w:type="dxa"/>
              <w:end w:w="120" w:type="dxa"/>
            </w:tcMar>
          </w:tcPr>
          <w:p>
            <w:pPr/>
            <w:r>
              <w:t xml:space="preserve">Không cần</w:t>
            </w:r>
          </w:p>
        </w:tc>
        <w:tc>
          <w:tcPr>
            <w:tcW w:w="5900" w:type="dxa"/>
            <w:tcMar>
              <w:top w:w="100" w:type="dxa"/>
              <w:start w:w="120" w:type="dxa"/>
              <w:bottom w:w="100" w:type="dxa"/>
              <w:end w:w="120" w:type="dxa"/>
            </w:tcMar>
          </w:tcPr>
          <w:p>
            <w:pPr/>
            <w:r>
              <w:t xml:space="preserve">Client Credentials / Service Account; Web Origins/CORS cho broker callback</w:t>
            </w:r>
          </w:p>
        </w:tc>
      </w:tr>
    </w:tbl>
    <w:p>
      <w:pPr>
        <w:pStyle w:val="Heading1"/>
        <w:spacing w:before="180"/>
      </w:pPr>
      <w:r>
        <w:t xml:space="preserve">2. Redirect URI</w:t>
      </w:r>
    </w:p>
    <w:p>
      <w:pPr>
        <w:spacing w:after="120"/>
        <w:shd w:val="clear" w:fill="EAF2F8"/>
      </w:pPr>
      <w:r>
        <w:t xml:space="preserve">Alias broker tại Keycloak MemoryOS là mytasco; đây là định danh kỹ thuật ổn định.</w:t>
      </w:r>
    </w:p>
    <w:p>
      <w:pPr>
        <w:pStyle w:val="Heading2"/>
      </w:pPr>
      <w:r>
        <w:t xml:space="preserve">Đăng nhập</w:t>
      </w:r>
    </w:p>
    <w:p>
      <w:pPr>
        <w:pStyle w:val="Code"/>
      </w:pPr>
      <w:r>
        <w:t xml:space="preserve">https://auth.kl3in.tech/realms/memoryos/broker/mytasco/endpoint</w:t>
      </w:r>
    </w:p>
    <w:p>
      <w:pPr>
        <w:pStyle w:val="Heading2"/>
      </w:pPr>
      <w:r>
        <w:t xml:space="preserve">Đăng xuất</w:t>
      </w:r>
    </w:p>
    <w:p>
      <w:pPr>
        <w:spacing w:after="80"/>
      </w:pPr>
      <w:r>
        <w:t xml:space="preserve">Discovery document nên công bố end_session_endpoint. Nếu Mytasco Keycloak yêu cầu đăng ký post-logout redirect URI, cho phép đúng URI sau:</w:t>
      </w:r>
    </w:p>
    <w:p>
      <w:pPr>
        <w:pStyle w:val="Code"/>
      </w:pPr>
      <w:r>
        <w:t xml:space="preserve">https://auth.kl3in.tech/realms/memoryos/broker/mytasco/endpoint/logout_response</w:t>
      </w:r>
    </w:p>
    <w:p>
      <w:pPr>
        <w:shd w:val="clear" w:fill="FFF4CC"/>
      </w:pPr>
      <w:r>
        <w:t xml:space="preserve">Logout endpoint cần chấp nhận id_token_hint và post_logout_redirect_uri. MemoryOS dùng broker/back-channel logout khi upstream hỗ trợ; URI trên là callback fallback cho browser logout.</w:t>
      </w:r>
    </w:p>
    <w:p>
      <w:pPr>
        <w:pStyle w:val="Heading1"/>
        <w:spacing w:before="180"/>
      </w:pPr>
      <w:r>
        <w:t xml:space="preserve">3. Scope và claim</w:t>
      </w:r>
    </w:p>
    <w:p>
      <w:pPr>
        <w:pStyle w:val="Code"/>
      </w:pPr>
      <w:r>
        <w:t xml:space="preserve">Cho phép các scope chuẩn: openid email profile</w:t>
      </w:r>
    </w:p>
    <w:p>
      <w:pPr/>
      <w:r>
        <w:t xml:space="preserve">Cấu hình mapper/client scope để claim xuất hiện trong ID Token và UserInfo, không chỉ access token.</w:t>
      </w:r>
    </w:p>
    <w:tbl>
      <w:tblPr>
        <w:tblStyle w:val="TableGrid"/>
        <w:tblW w:w="9000" w:type="dxa"/>
        <w:tblLook w:val="04A0" w:firstRow="1" w:lastRow="0" w:firstColumn="0" w:lastColumn="0" w:noHBand="0" w:noVBand="1"/>
      </w:tblPr>
      <w:tblGrid>
        <w:gridCol w:w="3100"/>
        <w:gridCol w:w="5900"/>
      </w:tblGrid>
      <w:tr>
        <w:tc>
          <w:tcPr>
            <w:tcW w:w="3100" w:type="dxa"/>
            <w:shd w:val="clear" w:fill="17365D"/>
            <w:tcMar>
              <w:top w:w="100" w:type="dxa"/>
              <w:start w:w="120" w:type="dxa"/>
              <w:bottom w:w="100" w:type="dxa"/>
              <w:end w:w="120" w:type="dxa"/>
            </w:tcMar>
          </w:tcPr>
          <w:p>
            <w:pPr/>
            <w:r>
              <w:rPr>
                <w:b/>
                <w:bCs/>
              </w:rPr>
              <w:t xml:space="preserve">Claim</w:t>
            </w:r>
          </w:p>
        </w:tc>
        <w:tc>
          <w:tcPr>
            <w:tcW w:w="5900" w:type="dxa"/>
            <w:shd w:val="clear" w:fill="17365D"/>
            <w:tcMar>
              <w:top w:w="100" w:type="dxa"/>
              <w:start w:w="120" w:type="dxa"/>
              <w:bottom w:w="100" w:type="dxa"/>
              <w:end w:w="120" w:type="dxa"/>
            </w:tcMar>
          </w:tcPr>
          <w:p>
            <w:pPr/>
            <w:r>
              <w:rPr>
                <w:b/>
                <w:bCs/>
              </w:rPr>
              <w:t xml:space="preserve">Yêu cầu</w:t>
            </w:r>
          </w:p>
        </w:tc>
      </w:tr>
      <w:tr>
        <w:tc>
          <w:tcPr>
            <w:tcW w:w="3100" w:type="dxa"/>
            <w:tcMar>
              <w:top w:w="100" w:type="dxa"/>
              <w:start w:w="120" w:type="dxa"/>
              <w:bottom w:w="100" w:type="dxa"/>
              <w:end w:w="120" w:type="dxa"/>
            </w:tcMar>
          </w:tcPr>
          <w:p>
            <w:pPr/>
            <w:r>
              <w:t xml:space="preserve">sub</w:t>
            </w:r>
          </w:p>
        </w:tc>
        <w:tc>
          <w:tcPr>
            <w:tcW w:w="5900" w:type="dxa"/>
            <w:tcMar>
              <w:top w:w="100" w:type="dxa"/>
              <w:start w:w="120" w:type="dxa"/>
              <w:bottom w:w="100" w:type="dxa"/>
              <w:end w:w="120" w:type="dxa"/>
            </w:tcMar>
          </w:tcPr>
          <w:p>
            <w:pPr/>
            <w:r>
              <w:t xml:space="preserve">ID ổn định, duy nhất trong Realm; không dùng số điện thoại làm định danh có thể thay đổi</w:t>
            </w:r>
          </w:p>
        </w:tc>
      </w:tr>
      <w:tr>
        <w:tc>
          <w:tcPr>
            <w:tcW w:w="3100" w:type="dxa"/>
            <w:tcMar>
              <w:top w:w="100" w:type="dxa"/>
              <w:start w:w="120" w:type="dxa"/>
              <w:bottom w:w="100" w:type="dxa"/>
              <w:end w:w="120" w:type="dxa"/>
            </w:tcMar>
          </w:tcPr>
          <w:p>
            <w:pPr/>
            <w:r>
              <w:t xml:space="preserve">email</w:t>
            </w:r>
          </w:p>
        </w:tc>
        <w:tc>
          <w:tcPr>
            <w:tcW w:w="5900" w:type="dxa"/>
            <w:tcMar>
              <w:top w:w="100" w:type="dxa"/>
              <w:start w:w="120" w:type="dxa"/>
              <w:bottom w:w="100" w:type="dxa"/>
              <w:end w:w="120" w:type="dxa"/>
            </w:tcMar>
          </w:tcPr>
          <w:p>
            <w:pPr/>
            <w:r>
              <w:t xml:space="preserve">Email Mytasco hiện hành của user</w:t>
            </w:r>
          </w:p>
        </w:tc>
      </w:tr>
      <w:tr>
        <w:tc>
          <w:tcPr>
            <w:tcW w:w="3100" w:type="dxa"/>
            <w:tcMar>
              <w:top w:w="100" w:type="dxa"/>
              <w:start w:w="120" w:type="dxa"/>
              <w:bottom w:w="100" w:type="dxa"/>
              <w:end w:w="120" w:type="dxa"/>
            </w:tcMar>
          </w:tcPr>
          <w:p>
            <w:pPr/>
            <w:r>
              <w:t xml:space="preserve">email_verified</w:t>
            </w:r>
          </w:p>
        </w:tc>
        <w:tc>
          <w:tcPr>
            <w:tcW w:w="5900" w:type="dxa"/>
            <w:tcMar>
              <w:top w:w="100" w:type="dxa"/>
              <w:start w:w="120" w:type="dxa"/>
              <w:bottom w:w="100" w:type="dxa"/>
              <w:end w:w="120" w:type="dxa"/>
            </w:tcMar>
          </w:tcPr>
          <w:p>
            <w:pPr/>
            <w:r>
              <w:t xml:space="preserve">Boolean phản ánh trạng thái xác thực email thực tế</w:t>
            </w:r>
          </w:p>
        </w:tc>
      </w:tr>
      <w:tr>
        <w:tc>
          <w:tcPr>
            <w:tcW w:w="3100" w:type="dxa"/>
            <w:tcMar>
              <w:top w:w="100" w:type="dxa"/>
              <w:start w:w="120" w:type="dxa"/>
              <w:bottom w:w="100" w:type="dxa"/>
              <w:end w:w="120" w:type="dxa"/>
            </w:tcMar>
          </w:tcPr>
          <w:p>
            <w:pPr/>
            <w:r>
              <w:t xml:space="preserve">name</w:t>
            </w:r>
          </w:p>
        </w:tc>
        <w:tc>
          <w:tcPr>
            <w:tcW w:w="5900" w:type="dxa"/>
            <w:tcMar>
              <w:top w:w="100" w:type="dxa"/>
              <w:start w:w="120" w:type="dxa"/>
              <w:bottom w:w="100" w:type="dxa"/>
              <w:end w:w="120" w:type="dxa"/>
            </w:tcMar>
          </w:tcPr>
          <w:p>
            <w:pPr/>
            <w:r>
              <w:t xml:space="preserve">Tên hiển thị nếu có</w:t>
            </w:r>
          </w:p>
        </w:tc>
      </w:tr>
      <w:tr>
        <w:tc>
          <w:tcPr>
            <w:tcW w:w="3100" w:type="dxa"/>
            <w:tcMar>
              <w:top w:w="100" w:type="dxa"/>
              <w:start w:w="120" w:type="dxa"/>
              <w:bottom w:w="100" w:type="dxa"/>
              <w:end w:w="120" w:type="dxa"/>
            </w:tcMar>
          </w:tcPr>
          <w:p>
            <w:pPr/>
            <w:r>
              <w:t xml:space="preserve">given_name / family_name</w:t>
            </w:r>
          </w:p>
        </w:tc>
        <w:tc>
          <w:tcPr>
            <w:tcW w:w="5900" w:type="dxa"/>
            <w:tcMar>
              <w:top w:w="100" w:type="dxa"/>
              <w:start w:w="120" w:type="dxa"/>
              <w:bottom w:w="100" w:type="dxa"/>
              <w:end w:w="120" w:type="dxa"/>
            </w:tcMar>
          </w:tcPr>
          <w:p>
            <w:pPr/>
            <w:r>
              <w:t xml:space="preserve">Optional; không có thì MemoryOS giữ trống</w:t>
            </w:r>
          </w:p>
        </w:tc>
      </w:tr>
    </w:tbl>
    <w:p>
      <w:pPr>
        <w:pStyle w:val="Heading2"/>
        <w:spacing w:before="140"/>
      </w:pPr>
      <w:r>
        <w:t xml:space="preserve">Chuẩn bị mapping Google Drive email</w:t>
      </w:r>
    </w:p>
    <w:p>
      <w:pPr>
        <w:shd w:val="clear" w:fill="EAF2F8"/>
      </w:pPr>
      <w:r>
        <w:t xml:space="preserve">Nếu Mytasco quản lý quan hệ user với nhiều Google Drive email, có thể chuẩn bị custom claim đa trị: drive_emails = ["hung@gmail.com", "hung@tasco.com"]. MemoryOS hiện chưa sử dụng claim này; đây là đầu vào cho hạng mục mapping Actor sang verified Drive emails sau này.</w:t>
      </w:r>
    </w:p>
    <w:p>
      <w:pPr>
        <w:pStyle w:val="Heading1"/>
        <w:spacing w:before="180"/>
      </w:pPr>
      <w:r>
        <w:t xml:space="preserve">4. User test</w:t>
      </w:r>
    </w:p>
    <w:p>
      <w:pPr/>
      <w:r>
        <w:t xml:space="preserve">• User A: email đã verified và có quyền Google Drive trên ít nhất một file/folder của Source Auto Sync.</w:t>
      </w:r>
    </w:p>
    <w:p>
      <w:pPr/>
      <w:r>
        <w:t xml:space="preserve">• User B: email đã verified nhưng không có quyền trên các file/folder đó.</w:t>
      </w:r>
    </w:p>
    <w:p>
      <w:pPr/>
      <w:r>
        <w:t xml:space="preserve">• Nếu login dùng OTP số điện thoại: vui lòng hướng dẫn quy trình test OTP hoặc cấp account test phù hợp.</w:t>
      </w:r>
    </w:p>
    <w:p>
      <w:pPr>
        <w:pStyle w:val="Heading1"/>
        <w:spacing w:before="180"/>
      </w:pPr>
      <w:r>
        <w:t xml:space="preserve">Không yêu cầu ở giai đoạn này</w:t>
      </w:r>
    </w:p>
    <w:p>
      <w:pPr/>
      <w:r>
        <w:t xml:space="preserve">Không cần quyền Admin Console Mytasco, danh sách toàn bộ user Realm, hay Client Credentials cho chatbot theo user. Không dùng access token Mytasco gọi thẳng API MemoryOS trong giai đoạn broker login này; đó là integration API riêng cần thỏa thuận issuer, audience và token policy sau.</w:t>
      </w:r>
    </w:p>
    <w:sectPr>
      <w:pgSz w:w="11906" w:h="16838"/>
      <w:pgMar w:top="1200" w:right="1200" w:bottom="1200" w:left="1200" w:header="720" w:footer="720" w:gutter="0"/>
    </w:sectPr>
  </w:body>
</w:document>
</file>

<file path=word/styles.xml><?xml version="1.0" encoding="utf-8"?>
<w:styles xmlns:w="http://schemas.openxmlformats.org/wordprocessingml/2006/main">
  <w:docDefaults>
    <w:rPrDefault>
      <w:rPr>
        <w:rFonts w:ascii="Aptos" w:hAnsi="Aptos" w:cs="Aptos"/>
        <w:sz w:val="22"/>
      </w:rPr>
    </w:rPrDefault>
    <w:pPrDefault>
      <w:pPr>
        <w:spacing w:after="120" w:line="276" w:lineRule="auto"/>
      </w:pPr>
    </w:pPrDefault>
  </w:docDefaults>
  <w:style w:type="paragraph" w:default="1" w:styleId="Normal">
    <w:name w:val="Normal"/>
  </w:style>
  <w:style w:type="paragraph" w:styleId="Title">
    <w:name w:val="Title"/>
    <w:pPr>
      <w:spacing w:after="60"/>
    </w:pPr>
    <w:rPr>
      <w:color w:val="17365D"/>
      <w:sz w:val="40"/>
      <w:szCs w:val="40"/>
      <w:b/>
    </w:rPr>
  </w:style>
  <w:style w:type="paragraph" w:styleId="Subtitle">
    <w:name w:val="Subtitle"/>
    <w:pPr>
      <w:spacing w:after="360"/>
    </w:pPr>
    <w:rPr>
      <w:color w:val="5B9BD5"/>
      <w:sz w:val="18"/>
      <w:szCs w:val="18"/>
      <w:b/>
    </w:rPr>
  </w:style>
  <w:style w:type="paragraph" w:styleId="Heading1">
    <w:name w:val="heading 1"/>
    <w:basedOn w:val="Normal"/>
    <w:next w:val="Normal"/>
    <w:rPr>
      <w:color w:val="17365D"/>
      <w:sz w:val="28"/>
      <w:szCs w:val="28"/>
      <w:b/>
    </w:rPr>
  </w:style>
  <w:style w:type="paragraph" w:styleId="Heading2">
    <w:name w:val="heading 2"/>
    <w:basedOn w:val="Normal"/>
    <w:next w:val="Normal"/>
    <w:rPr>
      <w:color w:val="2F75B5"/>
      <w:sz w:val="22"/>
      <w:szCs w:val="22"/>
      <w:b/>
    </w:rPr>
  </w:style>
  <w:style w:type="paragraph" w:styleId="Code">
    <w:name w:val="Code"/>
    <w:pPr>
      <w:shd w:val="clear" w:fill="F3F5F7"/>
      <w:spacing w:before="80" w:after="120"/>
    </w:pPr>
    <w:rPr>
      <w:rFonts w:ascii="Consolas" w:hAnsi="Consolas"/>
      <w:color w:val="1F1F1F"/>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MemoryOS</Application>
</Properties>
</file>

<file path=docProps/core.xml><?xml version="1.0" encoding="utf-8"?>
<cp:coreProperties xmlns:cp="http://schemas.openxmlformats.org/package/2006/metadata/core-properties" xmlns:dc="http://purl.org/dc/elements/1.1/" xmlns:dcterms="http://purl.org/dc/terms/" xmlns:xsi="http://www.w3.org/2001/XMLSchema-instance">
  <dc:title>Yêu cầu tạo OIDC client MemoryOS cho Mytasco</dc:title>
  <dc:creator>MemoryOS</dc:creator>
  <dcterms:created xsi:type="dcterms:W3CDTF">2026-09-28T00:00:00Z</dcterms:created>
</cp:coreProperties>
</file>