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doanh thu quý 3/2026</w:t>
      </w:r>
    </w:p>
    <w:p>
      <w:r>
        <w:t>Doanh thu quý 3 đạt 12.480.000.000 ₫, tăng 18,4% so với cùng kỳ. Miền Bắc đóng góp nhiều nhất nhờ kênh bán lẻ tại Hà Nội và Hải Phòng.</w:t>
      </w:r>
    </w:p>
    <w:p>
      <w:pPr>
        <w:pStyle w:val="Heading1"/>
      </w:pPr>
      <w:r>
        <w:t>Theo khu vực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Khu vực</w:t>
            </w:r>
          </w:p>
        </w:tc>
        <w:tc>
          <w:tcPr>
            <w:tcW w:type="dxa" w:w="2880"/>
          </w:tcPr>
          <w:p>
            <w:r>
              <w:t>Doanh thu (₫)</w:t>
            </w:r>
          </w:p>
        </w:tc>
        <w:tc>
          <w:tcPr>
            <w:tcW w:type="dxa" w:w="2880"/>
          </w:tcPr>
          <w:p>
            <w:r>
              <w:t>Tăng trưởng</w:t>
            </w:r>
          </w:p>
        </w:tc>
      </w:tr>
      <w:tr>
        <w:tc>
          <w:tcPr>
            <w:tcW w:type="dxa" w:w="2880"/>
          </w:tcPr>
          <w:p>
            <w:r>
              <w:t>Miền Bắc</w:t>
            </w:r>
          </w:p>
        </w:tc>
        <w:tc>
          <w:tcPr>
            <w:tcW w:type="dxa" w:w="2880"/>
          </w:tcPr>
          <w:p>
            <w:r>
              <w:t>5.120.000.000</w:t>
            </w:r>
          </w:p>
        </w:tc>
        <w:tc>
          <w:tcPr>
            <w:tcW w:type="dxa" w:w="2880"/>
          </w:tcPr>
          <w:p>
            <w:r>
              <w:t>+22,1%</w:t>
            </w:r>
          </w:p>
        </w:tc>
      </w:tr>
      <w:tr>
        <w:tc>
          <w:tcPr>
            <w:tcW w:type="dxa" w:w="2880"/>
          </w:tcPr>
          <w:p>
            <w:r>
              <w:t>Miền Trung</w:t>
            </w:r>
          </w:p>
        </w:tc>
        <w:tc>
          <w:tcPr>
            <w:tcW w:type="dxa" w:w="2880"/>
          </w:tcPr>
          <w:p>
            <w:r>
              <w:t>2.310.000.000</w:t>
            </w:r>
          </w:p>
        </w:tc>
        <w:tc>
          <w:tcPr>
            <w:tcW w:type="dxa" w:w="2880"/>
          </w:tcPr>
          <w:p>
            <w:r>
              <w:t>+9,6%</w:t>
            </w:r>
          </w:p>
        </w:tc>
      </w:tr>
      <w:tr>
        <w:tc>
          <w:tcPr>
            <w:tcW w:type="dxa" w:w="2880"/>
          </w:tcPr>
          <w:p>
            <w:r>
              <w:t>Miền Nam</w:t>
            </w:r>
          </w:p>
        </w:tc>
        <w:tc>
          <w:tcPr>
            <w:tcW w:type="dxa" w:w="2880"/>
          </w:tcPr>
          <w:p>
            <w:r>
              <w:t>5.050.000.000</w:t>
            </w:r>
          </w:p>
        </w:tc>
        <w:tc>
          <w:tcPr>
            <w:tcW w:type="dxa" w:w="2880"/>
          </w:tcPr>
          <w:p>
            <w:r>
              <w:t>+17,3%</w:t>
            </w:r>
          </w:p>
        </w:tc>
      </w:tr>
    </w:tbl>
    <w:p>
      <w:r>
        <w:t xml:space="preserve">Nguồn: </w:t>
      </w:r>
      <w:r>
        <w:rPr>
          <w:b/>
        </w:rPr>
        <w:t>hệ thống kế toán nội bộ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