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/>
      </w:pPr>
      <w:r>
        <w:rPr>
          <w:rFonts w:eastAsia="Arial" w:cs="Arial" w:ascii="Arial" w:hAnsi="Arial"/>
          <w:b/>
          <w:bCs/>
          <w:color w:val="1E5FA8"/>
          <w:sz w:val="28"/>
          <w:szCs w:val="28"/>
        </w:rPr>
        <w:t>Store Activity Dashboard — Section Breakdown</w:t>
      </w:r>
    </w:p>
    <w:p>
      <w:pPr>
        <w:pStyle w:val="Normal"/>
        <w:pBdr>
          <w:bottom w:val="single" w:sz="4" w:space="4" w:color="1E5FA8"/>
        </w:pBdr>
        <w:spacing w:before="240" w:after="100"/>
        <w:rPr/>
      </w:pPr>
      <w:r>
        <w:rPr>
          <w:rFonts w:eastAsia="Arial" w:cs="Arial" w:ascii="Arial" w:hAnsi="Arial"/>
          <w:b/>
          <w:bCs/>
          <w:color w:val="1A1A1A"/>
          <w:sz w:val="24"/>
          <w:szCs w:val="24"/>
        </w:rPr>
        <w:t>Section 1 — KPI Summary Cards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0" w:after="100"/>
        <w:rPr/>
      </w:pPr>
      <w:r>
        <w:rPr/>
        <w:drawing>
          <wp:inline distT="0" distB="0" distL="0" distR="0">
            <wp:extent cx="5810250" cy="1543050"/>
            <wp:effectExtent l="0" t="0" r="0" b="0"/>
            <wp:docPr id="1" name="s1" descr="s1&#10;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1" descr="s1&#10;s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40" w:after="60"/>
        <w:rPr/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  <w:t>How it works: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>Displays a top-level snapshot for the selected date range and chain filter.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>Butikker med aktivitet — the overall activity rate: (stores with any activity ÷ total registered) × 100.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>JA TAK-AKTIVE — count of stores that performed their own self-check in the period.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>ANDEN AKTIVITET — count of stores that received an HQ content push (regardless of self-check).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>TIL OPFØLGNING — registered stores with zero activity of any kind in the period.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>Footer strip shows total registered stores, newly added stores, and closed/exited stores.</w:t>
      </w:r>
    </w:p>
    <w:p>
      <w:pPr>
        <w:pStyle w:val="Normal"/>
        <w:spacing w:before="140" w:after="60"/>
        <w:rPr/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  <w:t>Columns / Cards: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Butikker med aktivitet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Overall % of registered stores that had at least one action (self-check or HQ push) in the period.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JA TAK-AKTIVE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Raw count of stores that actively did their own store check — the most direct sign of platform engagement.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ANDEN AKTIVITET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Raw count of stores touched by an HQ push — includes stores that did not self-check.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TIL OPFØLGNING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Stores that are open and registered but had absolutely no activity — the follow-up target list.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Total / Nye / Udgåede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Footer strip: total registered base, new stores onboarded this period, and stores that exited the registry.</w:t>
            </w:r>
          </w:p>
        </w:tc>
      </w:tr>
    </w:tbl>
    <w:p>
      <w:pPr>
        <w:pStyle w:val="Normal"/>
        <w:spacing w:before="140" w:after="60"/>
        <w:rPr/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  <w:t>Questions: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540"/>
        <w:rPr/>
      </w:pPr>
      <w:r>
        <w:rPr>
          <w:rFonts w:eastAsia="Arial" w:cs="Arial" w:ascii="Arial" w:hAnsi="Arial"/>
          <w:color w:val="1A1A1A"/>
          <w:sz w:val="20"/>
          <w:szCs w:val="20"/>
        </w:rPr>
        <w:t>1) Should TIL OPFØLGNING include stores that have an HQ push but no self-check, or only stores with zero activity of any kind?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540"/>
        <w:rPr>
          <w:rFonts w:ascii="Arial" w:hAnsi="Arial" w:eastAsia="Arial" w:cs="Arial"/>
          <w:color w:val="1A1A1A"/>
          <w:sz w:val="20"/>
          <w:szCs w:val="20"/>
        </w:rPr>
      </w:pPr>
      <w:r>
        <w:rPr>
          <w:rFonts w:eastAsia="Arial" w:cs="Arial" w:ascii="Arial" w:hAnsi="Arial"/>
          <w:color w:val="1A1A1A"/>
          <w:sz w:val="20"/>
          <w:szCs w:val="20"/>
        </w:rPr>
      </w:r>
    </w:p>
    <w:p>
      <w:pPr>
        <w:pStyle w:val="ListParagraph"/>
        <w:numPr>
          <w:ilvl w:val="0"/>
          <w:numId w:val="0"/>
        </w:numPr>
        <w:spacing w:before="40" w:after="40"/>
        <w:ind w:hanging="0" w:left="540"/>
        <w:rPr/>
      </w:pPr>
      <w:r>
        <w:rPr>
          <w:rFonts w:eastAsia="Arial" w:cs="Arial" w:ascii="Arial" w:hAnsi="Arial"/>
          <w:color w:val="1A1A1A"/>
          <w:sz w:val="20"/>
          <w:szCs w:val="20"/>
        </w:rPr>
        <w:t>2) If a brand-new store does its first self-check in this period, should it count in the main active total or only in the 'new stores' strip?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540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4" w:color="1E5FA8"/>
        </w:pBdr>
        <w:spacing w:before="240" w:after="100"/>
        <w:rPr/>
      </w:pPr>
      <w:r>
        <w:rPr>
          <w:rFonts w:eastAsia="Arial" w:cs="Arial" w:ascii="Arial" w:hAnsi="Arial"/>
          <w:b/>
          <w:bCs/>
          <w:color w:val="1A1A1A"/>
          <w:sz w:val="24"/>
          <w:szCs w:val="24"/>
        </w:rPr>
        <w:t>Section 2 — Chain Breakdown Table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0" w:after="100"/>
        <w:rPr/>
      </w:pPr>
      <w:r>
        <w:rPr/>
        <w:drawing>
          <wp:inline distT="0" distB="0" distL="0" distR="0">
            <wp:extent cx="5334000" cy="2343150"/>
            <wp:effectExtent l="0" t="0" r="0" b="0"/>
            <wp:docPr id="2" name="s2" descr="s2&#10;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" descr="s2&#10;s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40" w:after="60"/>
        <w:rPr/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  <w:t>How it works: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>Breaks the global KPIs down by chain, one row per chain.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>Sorted descending by Dækning (coverage %) so the best-performing chains appear first.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>TOTAL AKTIVE is a set union of self-check stores and HQ-pushed stores — stores present in both are counted only once.</w:t>
      </w:r>
    </w:p>
    <w:p>
      <w:pPr>
        <w:pStyle w:val="ListParagraph"/>
        <w:numPr>
          <w:ilvl w:val="0"/>
          <w:numId w:val="13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>TIL OPFØLGNING per chain = registered stores in that chain with zero self-check and zero HQ push.</w:t>
      </w:r>
    </w:p>
    <w:p>
      <w:pPr>
        <w:pStyle w:val="ListParagraph"/>
        <w:numPr>
          <w:ilvl w:val="0"/>
          <w:numId w:val="14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>Dækning = (total_with_activity ÷ total_registered for that chain) × 100.</w:t>
      </w:r>
    </w:p>
    <w:p>
      <w:pPr>
        <w:pStyle w:val="Normal"/>
        <w:spacing w:before="140" w:after="60"/>
        <w:rPr/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  <w:t>Columns: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KÆDE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Chain name — each row represents one corporate chain.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EGNE OPSLAG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Number of stores in this chain that did their own self-check in the period.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VIA HK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Number of stores in this chain that received an HQ content push in the period.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TOTAL AKTIVE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Unique stores with any activity (EGNE OPSLAG ∪ VIA HK, deduplicated).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TIL OPFØLGNING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Stores in this chain that are registered but had zero activity — need follow-up.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DÆKNING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Coverage %: what share of this chain's registered stores had at least one action.</w:t>
            </w:r>
          </w:p>
        </w:tc>
      </w:tr>
    </w:tbl>
    <w:p>
      <w:pPr>
        <w:pStyle w:val="Normal"/>
        <w:pBdr>
          <w:bottom w:val="single" w:sz="4" w:space="4" w:color="1E5FA8"/>
        </w:pBdr>
        <w:spacing w:before="0" w:after="100"/>
        <w:rPr>
          <w:rFonts w:ascii="Arial" w:hAnsi="Arial" w:eastAsia="Arial" w:cs="Arial"/>
          <w:b/>
          <w:bCs/>
          <w:color w:val="1A1A1A"/>
          <w:sz w:val="21"/>
          <w:szCs w:val="21"/>
        </w:rPr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</w:r>
    </w:p>
    <w:p>
      <w:pPr>
        <w:pStyle w:val="Normal"/>
        <w:pBdr>
          <w:bottom w:val="single" w:sz="4" w:space="4" w:color="1E5FA8"/>
        </w:pBdr>
        <w:spacing w:before="0" w:after="100"/>
        <w:rPr>
          <w:rFonts w:ascii="Arial" w:hAnsi="Arial" w:eastAsia="Arial" w:cs="Arial"/>
          <w:b/>
          <w:bCs/>
          <w:color w:val="1A1A1A"/>
          <w:sz w:val="21"/>
          <w:szCs w:val="21"/>
        </w:rPr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</w:r>
    </w:p>
    <w:p>
      <w:pPr>
        <w:pStyle w:val="Normal"/>
        <w:pBdr>
          <w:bottom w:val="single" w:sz="4" w:space="4" w:color="1E5FA8"/>
        </w:pBdr>
        <w:spacing w:before="0" w:after="100"/>
        <w:rPr>
          <w:rFonts w:ascii="Arial" w:hAnsi="Arial" w:eastAsia="Arial" w:cs="Arial"/>
          <w:b/>
          <w:bCs/>
          <w:color w:val="1A1A1A"/>
          <w:sz w:val="21"/>
          <w:szCs w:val="21"/>
        </w:rPr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</w:r>
    </w:p>
    <w:p>
      <w:pPr>
        <w:pStyle w:val="Normal"/>
        <w:pBdr>
          <w:bottom w:val="single" w:sz="4" w:space="4" w:color="1E5FA8"/>
        </w:pBdr>
        <w:spacing w:before="0" w:after="100"/>
        <w:rPr>
          <w:rFonts w:ascii="Arial" w:hAnsi="Arial" w:eastAsia="Arial" w:cs="Arial"/>
          <w:b/>
          <w:bCs/>
          <w:color w:val="1A1A1A"/>
          <w:sz w:val="21"/>
          <w:szCs w:val="21"/>
        </w:rPr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</w:r>
    </w:p>
    <w:p>
      <w:pPr>
        <w:pStyle w:val="Normal"/>
        <w:pBdr>
          <w:bottom w:val="single" w:sz="4" w:space="4" w:color="1E5FA8"/>
        </w:pBdr>
        <w:spacing w:before="0" w:after="100"/>
        <w:rPr>
          <w:rFonts w:ascii="Arial" w:hAnsi="Arial" w:eastAsia="Arial" w:cs="Arial"/>
          <w:b/>
          <w:bCs/>
          <w:color w:val="1A1A1A"/>
          <w:sz w:val="21"/>
          <w:szCs w:val="21"/>
        </w:rPr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</w:r>
    </w:p>
    <w:p>
      <w:pPr>
        <w:pStyle w:val="Normal"/>
        <w:pBdr>
          <w:bottom w:val="single" w:sz="4" w:space="4" w:color="1E5FA8"/>
        </w:pBdr>
        <w:spacing w:before="0" w:after="100"/>
        <w:rPr>
          <w:rFonts w:ascii="Arial" w:hAnsi="Arial" w:eastAsia="Arial" w:cs="Arial"/>
          <w:b/>
          <w:bCs/>
          <w:color w:val="1A1A1A"/>
          <w:sz w:val="21"/>
          <w:szCs w:val="21"/>
        </w:rPr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</w:r>
    </w:p>
    <w:p>
      <w:pPr>
        <w:pStyle w:val="Normal"/>
        <w:pBdr>
          <w:bottom w:val="single" w:sz="4" w:space="4" w:color="1E5FA8"/>
        </w:pBdr>
        <w:spacing w:before="0" w:after="100"/>
        <w:rPr>
          <w:rFonts w:ascii="Arial" w:hAnsi="Arial" w:eastAsia="Arial" w:cs="Arial"/>
          <w:b/>
          <w:bCs/>
          <w:color w:val="1A1A1A"/>
          <w:sz w:val="21"/>
          <w:szCs w:val="21"/>
        </w:rPr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</w:r>
    </w:p>
    <w:p>
      <w:pPr>
        <w:pStyle w:val="Normal"/>
        <w:pBdr>
          <w:bottom w:val="single" w:sz="4" w:space="4" w:color="1E5FA8"/>
        </w:pBdr>
        <w:spacing w:before="0" w:after="100"/>
        <w:rPr>
          <w:rFonts w:ascii="Arial" w:hAnsi="Arial" w:eastAsia="Arial" w:cs="Arial"/>
          <w:b/>
          <w:bCs/>
          <w:color w:val="1A1A1A"/>
          <w:sz w:val="21"/>
          <w:szCs w:val="21"/>
        </w:rPr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</w:r>
    </w:p>
    <w:p>
      <w:pPr>
        <w:pStyle w:val="Normal"/>
        <w:pBdr>
          <w:bottom w:val="single" w:sz="4" w:space="4" w:color="1E5FA8"/>
        </w:pBdr>
        <w:spacing w:before="0" w:after="100"/>
        <w:rPr>
          <w:rFonts w:ascii="Arial" w:hAnsi="Arial" w:eastAsia="Arial" w:cs="Arial"/>
          <w:b/>
          <w:bCs/>
          <w:color w:val="1A1A1A"/>
          <w:sz w:val="21"/>
          <w:szCs w:val="21"/>
        </w:rPr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</w:r>
    </w:p>
    <w:p>
      <w:pPr>
        <w:pStyle w:val="Normal"/>
        <w:pBdr>
          <w:bottom w:val="single" w:sz="4" w:space="4" w:color="1E5FA8"/>
        </w:pBdr>
        <w:spacing w:before="0" w:after="100"/>
        <w:rPr>
          <w:rFonts w:ascii="Arial" w:hAnsi="Arial" w:eastAsia="Arial" w:cs="Arial"/>
          <w:b/>
          <w:bCs/>
          <w:color w:val="1A1A1A"/>
          <w:sz w:val="21"/>
          <w:szCs w:val="21"/>
        </w:rPr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</w:r>
    </w:p>
    <w:p>
      <w:pPr>
        <w:pStyle w:val="Normal"/>
        <w:pBdr>
          <w:bottom w:val="single" w:sz="4" w:space="4" w:color="1E5FA8"/>
        </w:pBdr>
        <w:spacing w:before="0" w:after="100"/>
        <w:rPr>
          <w:rFonts w:ascii="Arial" w:hAnsi="Arial" w:eastAsia="Arial" w:cs="Arial"/>
          <w:b/>
          <w:bCs/>
          <w:color w:val="1A1A1A"/>
          <w:sz w:val="21"/>
          <w:szCs w:val="21"/>
        </w:rPr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</w:r>
    </w:p>
    <w:p>
      <w:pPr>
        <w:pStyle w:val="Normal"/>
        <w:pBdr>
          <w:bottom w:val="single" w:sz="4" w:space="4" w:color="1E5FA8"/>
        </w:pBdr>
        <w:spacing w:before="0" w:after="100"/>
        <w:rPr>
          <w:rFonts w:ascii="Arial" w:hAnsi="Arial" w:eastAsia="Arial" w:cs="Arial"/>
          <w:b/>
          <w:bCs/>
          <w:color w:val="1A1A1A"/>
          <w:sz w:val="21"/>
          <w:szCs w:val="21"/>
        </w:rPr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</w:r>
    </w:p>
    <w:p>
      <w:pPr>
        <w:pStyle w:val="Normal"/>
        <w:pBdr>
          <w:bottom w:val="single" w:sz="4" w:space="4" w:color="1E5FA8"/>
        </w:pBdr>
        <w:spacing w:before="0" w:after="100"/>
        <w:rPr/>
      </w:pPr>
      <w:r>
        <w:rPr>
          <w:rFonts w:eastAsia="Arial" w:cs="Arial" w:ascii="Arial" w:hAnsi="Arial"/>
          <w:b/>
          <w:bCs/>
          <w:color w:val="1A1A1A"/>
          <w:sz w:val="24"/>
          <w:szCs w:val="24"/>
        </w:rPr>
        <w:t>Section 3 — Inactive Store Detail List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0" w:after="100"/>
        <w:rPr/>
      </w:pPr>
      <w:r>
        <w:rPr/>
        <w:drawing>
          <wp:inline distT="0" distB="0" distL="0" distR="0">
            <wp:extent cx="4834255" cy="2124075"/>
            <wp:effectExtent l="0" t="0" r="0" b="0"/>
            <wp:docPr id="3" name="s3" descr="s3&#10;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3" descr="s3&#10;s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40" w:after="60"/>
        <w:rPr/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  <w:t>How it works:</w:t>
      </w:r>
    </w:p>
    <w:p>
      <w:pPr>
        <w:pStyle w:val="ListParagraph"/>
        <w:numPr>
          <w:ilvl w:val="0"/>
          <w:numId w:val="15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>Shows ONLY stores that are inactive in the selected period — stores with a self-check history before the window but silent within it.</w:t>
      </w:r>
    </w:p>
    <w:p>
      <w:pPr>
        <w:pStyle w:val="ListParagraph"/>
        <w:numPr>
          <w:ilvl w:val="0"/>
          <w:numId w:val="16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>Active stores (any self-check in the period) are completely absent from this list.</w:t>
      </w:r>
    </w:p>
    <w:p>
      <w:pPr>
        <w:pStyle w:val="ListParagraph"/>
        <w:numPr>
          <w:ilvl w:val="0"/>
          <w:numId w:val="17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>Each store gets a status badge based on two flags — is_registered and has_hk:</w:t>
      </w:r>
    </w:p>
    <w:p>
      <w:pPr>
        <w:pStyle w:val="ListParagraph"/>
        <w:numPr>
          <w:ilvl w:val="0"/>
          <w:numId w:val="18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 xml:space="preserve">    </w:t>
      </w:r>
      <w:r>
        <w:rPr>
          <w:rFonts w:eastAsia="Arial" w:cs="Arial" w:ascii="Arial" w:hAnsi="Arial"/>
          <w:color w:val="1A1A1A"/>
          <w:sz w:val="20"/>
          <w:szCs w:val="20"/>
        </w:rPr>
        <w:t>HK-opslag: registered + received HQ push, but no self-check. Still being reached by HQ.</w:t>
      </w:r>
    </w:p>
    <w:p>
      <w:pPr>
        <w:pStyle w:val="ListParagraph"/>
        <w:numPr>
          <w:ilvl w:val="0"/>
          <w:numId w:val="19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 xml:space="preserve">    </w:t>
      </w:r>
      <w:r>
        <w:rPr>
          <w:rFonts w:eastAsia="Arial" w:cs="Arial" w:ascii="Arial" w:hAnsi="Arial"/>
          <w:color w:val="1A1A1A"/>
          <w:sz w:val="20"/>
          <w:szCs w:val="20"/>
        </w:rPr>
        <w:t>Pause: registered + zero activity of any kind. Highest priority for sales outreach.</w:t>
      </w:r>
    </w:p>
    <w:p>
      <w:pPr>
        <w:pStyle w:val="ListParagraph"/>
        <w:numPr>
          <w:ilvl w:val="0"/>
          <w:numId w:val="20"/>
        </w:numPr>
        <w:spacing w:before="40" w:after="40"/>
        <w:rPr/>
      </w:pPr>
      <w:r>
        <w:rPr>
          <w:rFonts w:eastAsia="Arial" w:cs="Arial" w:ascii="Arial" w:hAnsi="Arial"/>
          <w:color w:val="1A1A1A"/>
          <w:sz w:val="20"/>
          <w:szCs w:val="20"/>
        </w:rPr>
        <w:t xml:space="preserve">    </w:t>
      </w:r>
      <w:r>
        <w:rPr>
          <w:rFonts w:eastAsia="Arial" w:cs="Arial" w:ascii="Arial" w:hAnsi="Arial"/>
          <w:color w:val="1A1A1A"/>
          <w:sz w:val="20"/>
          <w:szCs w:val="20"/>
        </w:rPr>
        <w:t>Lukket: not in the registered JSON at all — treated as decommissioned/closed.</w:t>
      </w:r>
    </w:p>
    <w:p>
      <w:pPr>
        <w:pStyle w:val="Normal"/>
        <w:spacing w:before="140" w:after="60"/>
        <w:rPr/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  <w:t>Columns:</w:t>
      </w:r>
    </w:p>
    <w:tbl>
      <w:tblPr>
        <w:tblW w:w="1071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600"/>
        <w:gridCol w:w="810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BUTIK</w:t>
            </w:r>
          </w:p>
        </w:tc>
        <w:tc>
          <w:tcPr>
            <w:tcW w:w="8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Store name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KARDEX</w:t>
            </w:r>
          </w:p>
        </w:tc>
        <w:tc>
          <w:tcPr>
            <w:tcW w:w="8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Unique store ID from the MySQL database.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KÆDE</w:t>
            </w:r>
          </w:p>
        </w:tc>
        <w:tc>
          <w:tcPr>
            <w:tcW w:w="8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The chain this store belongs to.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SIDST SET</w:t>
            </w:r>
          </w:p>
        </w:tc>
        <w:tc>
          <w:tcPr>
            <w:tcW w:w="8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Date of the store's last self-check — shows how long it has been silent.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MÅNEDER INAKTIV</w:t>
            </w:r>
          </w:p>
        </w:tc>
        <w:tc>
          <w:tcPr>
            <w:tcW w:w="8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Months since the last self-check, calculated as days_inactive ÷ 30.44.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HIST. OPSLAG</w:t>
            </w:r>
          </w:p>
        </w:tc>
        <w:tc>
          <w:tcPr>
            <w:tcW w:w="8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Total number of offers this store has historically posted — indicates its past engagement value.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GNS. JA TAK</w:t>
            </w:r>
          </w:p>
        </w:tc>
        <w:tc>
          <w:tcPr>
            <w:tcW w:w="8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Average Ja Tak rate from historical data — shows how well this store's offers performed with customers.</w:t>
            </w:r>
          </w:p>
        </w:tc>
      </w:tr>
      <w:tr>
        <w:trPr>
          <w:trHeight w:val="284" w:hRule="atLeast"/>
        </w:trPr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6FB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E5FA8"/>
                <w:sz w:val="19"/>
                <w:szCs w:val="19"/>
              </w:rPr>
              <w:t>STATUS</w:t>
            </w:r>
          </w:p>
        </w:tc>
        <w:tc>
          <w:tcPr>
            <w:tcW w:w="81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A1A1A"/>
                <w:sz w:val="19"/>
                <w:szCs w:val="19"/>
              </w:rPr>
              <w:t>Badge showing HK-opslag (HQ supported), Pause (fully inactive), or Lukket (closed/unregistered).</w:t>
            </w:r>
          </w:p>
        </w:tc>
      </w:tr>
    </w:tbl>
    <w:p>
      <w:pPr>
        <w:pStyle w:val="Normal"/>
        <w:spacing w:before="140" w:after="60"/>
        <w:rPr/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  <w:t>Questions: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540"/>
        <w:rPr/>
      </w:pPr>
      <w:r>
        <w:rPr>
          <w:rFonts w:eastAsia="Arial" w:cs="Arial" w:ascii="Arial" w:hAnsi="Arial"/>
          <w:color w:val="1A1A1A"/>
          <w:sz w:val="20"/>
          <w:szCs w:val="20"/>
        </w:rPr>
        <w:t>1</w:t>
      </w:r>
      <w:r>
        <w:rPr>
          <w:rFonts w:eastAsia="Arial" w:cs="Arial" w:ascii="Arial" w:hAnsi="Arial"/>
          <w:color w:val="1A1A1A"/>
          <w:sz w:val="20"/>
          <w:szCs w:val="20"/>
        </w:rPr>
        <w:t>) Inactivity is currently tied to the selected date range — a store silent for just one week appears here. Should a fixed threshold (e.g. 3 or 6 months) be used instead?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540"/>
        <w:rPr>
          <w:rFonts w:ascii="Arial" w:hAnsi="Arial" w:eastAsia="Arial" w:cs="Arial"/>
          <w:color w:val="1A1A1A"/>
          <w:sz w:val="20"/>
          <w:szCs w:val="20"/>
        </w:rPr>
      </w:pPr>
      <w:r>
        <w:rPr>
          <w:rFonts w:eastAsia="Arial" w:cs="Arial" w:ascii="Arial" w:hAnsi="Arial"/>
          <w:color w:val="1A1A1A"/>
          <w:sz w:val="20"/>
          <w:szCs w:val="20"/>
        </w:rPr>
      </w:r>
    </w:p>
    <w:p>
      <w:pPr>
        <w:pStyle w:val="ListParagraph"/>
        <w:numPr>
          <w:ilvl w:val="0"/>
          <w:numId w:val="0"/>
        </w:numPr>
        <w:spacing w:before="40" w:after="40"/>
        <w:ind w:hanging="0" w:left="540"/>
        <w:rPr/>
      </w:pPr>
      <w:r>
        <w:rPr>
          <w:rFonts w:eastAsia="Arial" w:cs="Arial" w:ascii="Arial" w:hAnsi="Arial"/>
          <w:color w:val="1A1A1A"/>
          <w:sz w:val="20"/>
          <w:szCs w:val="20"/>
        </w:rPr>
        <w:t>2</w:t>
      </w:r>
      <w:r>
        <w:rPr>
          <w:rFonts w:eastAsia="Arial" w:cs="Arial" w:ascii="Arial" w:hAnsi="Arial"/>
          <w:color w:val="1A1A1A"/>
          <w:sz w:val="20"/>
          <w:szCs w:val="20"/>
        </w:rPr>
        <w:t>) For the Pause status, should we check inactivity only within the date range or look at all-time activity? The HIST. OPSLAG column hints that past value matters.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540"/>
        <w:rPr>
          <w:rFonts w:ascii="Arial" w:hAnsi="Arial" w:eastAsia="Arial" w:cs="Arial"/>
          <w:color w:val="1A1A1A"/>
          <w:sz w:val="20"/>
          <w:szCs w:val="20"/>
        </w:rPr>
      </w:pPr>
      <w:r>
        <w:rPr>
          <w:rFonts w:eastAsia="Arial" w:cs="Arial" w:ascii="Arial" w:hAnsi="Arial"/>
          <w:color w:val="1A1A1A"/>
          <w:sz w:val="20"/>
          <w:szCs w:val="20"/>
        </w:rPr>
      </w:r>
    </w:p>
    <w:p>
      <w:pPr>
        <w:pStyle w:val="ListParagraph"/>
        <w:numPr>
          <w:ilvl w:val="0"/>
          <w:numId w:val="0"/>
        </w:numPr>
        <w:spacing w:before="40" w:after="40"/>
        <w:ind w:hanging="0" w:left="540"/>
        <w:rPr/>
      </w:pPr>
      <w:r>
        <w:rPr>
          <w:rFonts w:eastAsia="Arial" w:cs="Arial" w:ascii="Arial" w:hAnsi="Arial"/>
          <w:color w:val="1A1A1A"/>
          <w:sz w:val="20"/>
          <w:szCs w:val="20"/>
        </w:rPr>
        <w:t>3</w:t>
      </w:r>
      <w:r>
        <w:rPr>
          <w:rFonts w:eastAsia="Arial" w:cs="Arial" w:ascii="Arial" w:hAnsi="Arial"/>
          <w:color w:val="1A1A1A"/>
          <w:sz w:val="20"/>
          <w:szCs w:val="20"/>
        </w:rPr>
        <w:t xml:space="preserve">) A Lukket store flagged purely because it is missing from the </w:t>
      </w:r>
      <w:r>
        <w:rPr>
          <w:rFonts w:eastAsia="Arial" w:cs="Arial" w:ascii="Arial" w:hAnsi="Arial"/>
          <w:color w:val="1A1A1A"/>
          <w:sz w:val="20"/>
          <w:szCs w:val="20"/>
        </w:rPr>
        <w:t>current store api</w:t>
      </w:r>
      <w:r>
        <w:rPr>
          <w:rFonts w:eastAsia="Arial" w:cs="Arial" w:ascii="Arial" w:hAnsi="Arial"/>
          <w:color w:val="1A1A1A"/>
          <w:sz w:val="20"/>
          <w:szCs w:val="20"/>
        </w:rPr>
        <w:t>— if it still received an HQ push in the period, should it stay Lukket or be reclassified?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54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194</TotalTime>
  <Application>LibreOffice/24.2.7.2$Linux_X86_64 LibreOffice_project/420$Build-2</Application>
  <AppVersion>15.0000</AppVersion>
  <Pages>3</Pages>
  <Words>704</Words>
  <Characters>3529</Characters>
  <CharactersWithSpaces>4177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2026-05-25T06:59:38Z</dcterms:created>
  <dc:creator>Un-named</dc:creator>
  <dc:description/>
  <dc:language>en-US</dc:language>
  <cp:lastModifiedBy/>
  <dcterms:modified xsi:type="dcterms:W3CDTF">2026-05-25T16:23:03Z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