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160"/>
        <w:jc w:val="center"/>
      </w:pPr>
      <w:r>
        <w:rPr>
          <w:rFonts w:ascii="Arial" w:hAnsi="Arial" w:eastAsia="Arial" w:cs="Arial"/>
          <w:b/>
          <w:i w:val="0"/>
          <w:color w:val="0E7490"/>
          <w:sz w:val="21"/>
        </w:rPr>
        <w:t>WORLD SCIENCE, ENVIRONMENT AND ENGINEERING COMPETITION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7937"/>
      </w:tblGrid>
      <w:tr>
        <w:tc>
          <w:tcPr>
            <w:tcW w:type="dxa" w:w="7937"/>
            <w:shd w:fill="0E7490"/>
            <w:tcMar>
              <w:top w:w="18" w:type="dxa"/>
              <w:start w:w="0" w:type="dxa"/>
              <w:bottom w:w="18" w:type="dxa"/>
              <w:end w:w="0" w:type="dxa"/>
            </w:tcMar>
          </w:tcPr>
          <w:p/>
        </w:tc>
      </w:tr>
    </w:tbl>
    <w:p>
      <w:pPr>
        <w:spacing w:line="240" w:lineRule="auto" w:before="360" w:after="240"/>
        <w:jc w:val="center"/>
      </w:pPr>
      <w:r>
        <w:rPr>
          <w:rFonts w:ascii="Arial" w:hAnsi="Arial" w:eastAsia="Arial" w:cs="Arial"/>
          <w:b/>
          <w:i w:val="0"/>
          <w:color w:val="143B5E"/>
          <w:sz w:val="28"/>
        </w:rPr>
        <w:t>FULL PAPER</w:t>
      </w:r>
    </w:p>
    <w:p>
      <w:pPr>
        <w:spacing w:line="240" w:lineRule="auto" w:before="0" w:after="360"/>
        <w:jc w:val="center"/>
      </w:pPr>
      <w:r>
        <w:rPr>
          <w:rFonts w:ascii="Arial" w:hAnsi="Arial" w:eastAsia="Arial" w:cs="Arial"/>
          <w:b/>
          <w:i w:val="0"/>
          <w:color w:val="15242E"/>
          <w:sz w:val="32"/>
        </w:rPr>
        <w:t>DEVELOPMENT OF AN EXPLAINABLE AND UNCERTAINTY-AWARE AI SYSTEM FOR CERVICAL CELL ABNORMALITY SCREENING AND HPV-RELATED MORPHOLOGY RISK ASSESSMENT FROM THINPREP-STYLE IMAGES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E7490"/>
          <w:left w:val="single" w:sz="8" w:space="0" w:color="0E7490"/>
          <w:bottom w:val="single" w:sz="8" w:space="0" w:color="0E7490"/>
          <w:right w:val="single" w:sz="8" w:space="0" w:color="0E7490"/>
          <w:insideH w:val="single" w:sz="8" w:space="0" w:color="0E7490"/>
          <w:insideV w:val="single" w:sz="8" w:space="0" w:color="0E7490"/>
        </w:tblBorders>
      </w:tblPr>
      <w:tblGrid>
        <w:gridCol w:w="7937"/>
      </w:tblGrid>
      <w:tr>
        <w:tc>
          <w:tcPr>
            <w:tcW w:type="dxa" w:w="2721"/>
            <w:vAlign w:val="center"/>
            <w:shd w:fill="F5F8F9"/>
            <w:tcMar>
              <w:top w:w="430" w:type="dxa"/>
              <w:start w:w="100" w:type="dxa"/>
              <w:bottom w:w="43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0E7490"/>
                <w:sz w:val="21"/>
              </w:rPr>
              <w:t>INSERT</w:t>
              <w:br/>
              <w:t>INSTITUTION LOGO</w:t>
            </w:r>
          </w:p>
        </w:tc>
      </w:tr>
    </w:tbl>
    <w:p>
      <w:pPr>
        <w:spacing w:line="240" w:lineRule="auto" w:before="240" w:after="80"/>
        <w:jc w:val="center"/>
      </w:pPr>
      <w:r>
        <w:rPr>
          <w:rFonts w:ascii="Arial" w:hAnsi="Arial" w:eastAsia="Arial" w:cs="Arial"/>
          <w:b/>
          <w:i w:val="0"/>
          <w:color w:val="0E7490"/>
          <w:sz w:val="22"/>
        </w:rPr>
        <w:t>COMPILED BY</w:t>
      </w:r>
    </w:p>
    <w:p>
      <w:pPr>
        <w:spacing w:line="240" w:lineRule="auto" w:before="0" w:after="0"/>
        <w:jc w:val="center"/>
      </w:pPr>
      <w:r>
        <w:rPr>
          <w:rFonts w:ascii="Arial" w:hAnsi="Arial" w:eastAsia="Arial" w:cs="Arial"/>
          <w:b/>
          <w:i w:val="0"/>
          <w:color w:val="15242E"/>
          <w:sz w:val="21"/>
        </w:rPr>
        <w:t>AUTHOR 1: ______________________________</w:t>
      </w:r>
    </w:p>
    <w:p>
      <w:pPr>
        <w:spacing w:line="240" w:lineRule="auto" w:before="0" w:after="0"/>
        <w:jc w:val="center"/>
      </w:pPr>
      <w:r>
        <w:rPr>
          <w:rFonts w:ascii="Arial" w:hAnsi="Arial" w:eastAsia="Arial" w:cs="Arial"/>
          <w:b/>
          <w:i w:val="0"/>
          <w:color w:val="15242E"/>
          <w:sz w:val="21"/>
        </w:rPr>
        <w:t>AUTHOR 2: ______________________________</w:t>
      </w:r>
    </w:p>
    <w:p>
      <w:pPr>
        <w:spacing w:line="240" w:lineRule="auto" w:before="0" w:after="0"/>
        <w:jc w:val="center"/>
      </w:pPr>
      <w:r>
        <w:rPr>
          <w:rFonts w:ascii="Arial" w:hAnsi="Arial" w:eastAsia="Arial" w:cs="Arial"/>
          <w:b/>
          <w:i w:val="0"/>
          <w:color w:val="15242E"/>
          <w:sz w:val="21"/>
        </w:rPr>
        <w:t>AUTHOR 3: ______________________________</w:t>
      </w:r>
    </w:p>
    <w:p>
      <w:pPr>
        <w:spacing w:line="240" w:lineRule="auto" w:before="0" w:after="0"/>
        <w:jc w:val="center"/>
      </w:pPr>
      <w:r>
        <w:rPr>
          <w:rFonts w:ascii="Arial" w:hAnsi="Arial" w:eastAsia="Arial" w:cs="Arial"/>
          <w:b/>
          <w:i w:val="0"/>
          <w:color w:val="15242E"/>
          <w:sz w:val="21"/>
        </w:rPr>
        <w:t>AUTHOR 4: ______________________________</w:t>
      </w:r>
    </w:p>
    <w:p>
      <w:pPr>
        <w:spacing w:line="240" w:lineRule="auto" w:before="0" w:after="0"/>
        <w:jc w:val="center"/>
      </w:pPr>
      <w:r>
        <w:rPr>
          <w:rFonts w:ascii="Arial" w:hAnsi="Arial" w:eastAsia="Arial" w:cs="Arial"/>
          <w:b/>
          <w:i w:val="0"/>
          <w:color w:val="15242E"/>
          <w:sz w:val="21"/>
        </w:rPr>
        <w:t>AUTHOR 5: ______________________________</w:t>
      </w:r>
    </w:p>
    <w:p>
      <w:pPr>
        <w:spacing w:line="240" w:lineRule="auto" w:before="0" w:after="0"/>
        <w:jc w:val="center"/>
      </w:pPr>
      <w:r>
        <w:rPr>
          <w:rFonts w:ascii="Arial" w:hAnsi="Arial" w:eastAsia="Arial" w:cs="Arial"/>
          <w:b/>
          <w:i w:val="0"/>
          <w:color w:val="15242E"/>
          <w:sz w:val="21"/>
        </w:rPr>
        <w:t>AUTHOR 6: 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3968"/>
        <w:gridCol w:w="3968"/>
      </w:tblGrid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color w:val="526773"/>
                <w:sz w:val="20"/>
              </w:rPr>
              <w:t>INSTITUTION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 w:cs="Arial"/>
                <w:b/>
                <w:color w:val="15242E"/>
                <w:sz w:val="20"/>
              </w:rPr>
              <w:t>______________________________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color w:val="526773"/>
                <w:sz w:val="20"/>
              </w:rPr>
              <w:t>CATEGORY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 w:cs="Arial"/>
                <w:b/>
                <w:color w:val="15242E"/>
                <w:sz w:val="20"/>
              </w:rPr>
              <w:t>TECHNOLOGY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color w:val="526773"/>
                <w:sz w:val="20"/>
              </w:rPr>
              <w:t>YEAR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 w:cs="Arial"/>
                <w:b/>
                <w:color w:val="15242E"/>
                <w:sz w:val="20"/>
              </w:rPr>
              <w:t>2026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E7490"/>
          <w:left w:val="single" w:sz="8" w:space="0" w:color="0E7490"/>
          <w:bottom w:val="single" w:sz="8" w:space="0" w:color="0E7490"/>
          <w:right w:val="single" w:sz="8" w:space="0" w:color="0E7490"/>
          <w:insideH w:val="single" w:sz="8" w:space="0" w:color="0E7490"/>
          <w:insideV w:val="single" w:sz="8" w:space="0" w:color="0E7490"/>
        </w:tblBorders>
      </w:tblPr>
      <w:tblGrid>
        <w:gridCol w:w="7937"/>
      </w:tblGrid>
      <w:tr>
        <w:tc>
          <w:tcPr>
            <w:tcW w:type="dxa" w:w="7937"/>
            <w:shd w:fill="EAF3F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0E7490"/>
                <w:sz w:val="24"/>
              </w:rPr>
              <w:t>TABLE OF CONTENTS</w:t>
            </w:r>
          </w:p>
        </w:tc>
      </w:tr>
    </w:tbl>
    <w:p>
      <w:pPr>
        <w:spacing w:line="240" w:lineRule="auto" w:before="0" w:after="160"/>
        <w:jc w:val="left"/>
      </w:pPr>
      <w:r>
        <w:rPr>
          <w:rFonts w:ascii="Arial" w:hAnsi="Arial" w:eastAsia="Arial" w:cs="Arial"/>
          <w:b w:val="0"/>
          <w:i/>
          <w:color w:val="526773"/>
          <w:sz w:val="21"/>
        </w:rPr>
        <w:t>This table follows the final Word/PDF pagination of the polished submission version.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3968"/>
        <w:gridCol w:w="3968"/>
      </w:tblGrid>
      <w:tr>
        <w:tc>
          <w:tcPr>
            <w:tcW w:type="dxa" w:w="7030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Arial" w:hAnsi="Arial" w:eastAsia="Arial" w:cs="Arial"/>
                <w:b/>
                <w:color w:val="143B5E"/>
                <w:sz w:val="24"/>
              </w:rPr>
              <w:t>Abstract</w:t>
            </w:r>
          </w:p>
        </w:tc>
        <w:tc>
          <w:tcPr>
            <w:tcW w:type="dxa" w:w="907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color w:val="0E7490"/>
                <w:sz w:val="24"/>
              </w:rPr>
              <w:t>3</w:t>
            </w:r>
          </w:p>
        </w:tc>
      </w:tr>
      <w:tr>
        <w:tc>
          <w:tcPr>
            <w:tcW w:type="dxa" w:w="7030"/>
            <w:shd w:fill="F5F8F9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Arial" w:hAnsi="Arial" w:eastAsia="Arial" w:cs="Arial"/>
                <w:b/>
                <w:color w:val="143B5E"/>
                <w:sz w:val="24"/>
              </w:rPr>
              <w:t>Chapter 1 - Introduction</w:t>
            </w:r>
          </w:p>
        </w:tc>
        <w:tc>
          <w:tcPr>
            <w:tcW w:type="dxa" w:w="907"/>
            <w:shd w:fill="F5F8F9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color w:val="0E7490"/>
                <w:sz w:val="24"/>
              </w:rPr>
              <w:t>4</w:t>
            </w:r>
          </w:p>
        </w:tc>
      </w:tr>
      <w:tr>
        <w:tc>
          <w:tcPr>
            <w:tcW w:type="dxa" w:w="7030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Arial" w:hAnsi="Arial" w:eastAsia="Arial" w:cs="Arial"/>
                <w:b/>
                <w:color w:val="143B5E"/>
                <w:sz w:val="24"/>
              </w:rPr>
              <w:t>Chapter 2 - Literature Review</w:t>
            </w:r>
          </w:p>
        </w:tc>
        <w:tc>
          <w:tcPr>
            <w:tcW w:type="dxa" w:w="907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color w:val="0E7490"/>
                <w:sz w:val="24"/>
              </w:rPr>
              <w:t>5</w:t>
            </w:r>
          </w:p>
        </w:tc>
      </w:tr>
      <w:tr>
        <w:tc>
          <w:tcPr>
            <w:tcW w:type="dxa" w:w="7030"/>
            <w:shd w:fill="F5F8F9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Arial" w:hAnsi="Arial" w:eastAsia="Arial" w:cs="Arial"/>
                <w:b/>
                <w:color w:val="143B5E"/>
                <w:sz w:val="24"/>
              </w:rPr>
              <w:t>Chapter 3 - Research Method</w:t>
            </w:r>
          </w:p>
        </w:tc>
        <w:tc>
          <w:tcPr>
            <w:tcW w:type="dxa" w:w="907"/>
            <w:shd w:fill="F5F8F9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color w:val="0E7490"/>
                <w:sz w:val="24"/>
              </w:rPr>
              <w:t>6</w:t>
            </w:r>
          </w:p>
        </w:tc>
      </w:tr>
      <w:tr>
        <w:tc>
          <w:tcPr>
            <w:tcW w:type="dxa" w:w="7030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Arial" w:hAnsi="Arial" w:eastAsia="Arial" w:cs="Arial"/>
                <w:b/>
                <w:color w:val="143B5E"/>
                <w:sz w:val="24"/>
              </w:rPr>
              <w:t>Chapter 4 - Results and Discussion</w:t>
            </w:r>
          </w:p>
        </w:tc>
        <w:tc>
          <w:tcPr>
            <w:tcW w:type="dxa" w:w="907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color w:val="0E7490"/>
                <w:sz w:val="24"/>
              </w:rPr>
              <w:t>8</w:t>
            </w:r>
          </w:p>
        </w:tc>
      </w:tr>
      <w:tr>
        <w:tc>
          <w:tcPr>
            <w:tcW w:type="dxa" w:w="7030"/>
            <w:shd w:fill="F5F8F9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Arial" w:hAnsi="Arial" w:eastAsia="Arial" w:cs="Arial"/>
                <w:b/>
                <w:color w:val="143B5E"/>
                <w:sz w:val="24"/>
              </w:rPr>
              <w:t>Chapter 5 - Conclusion</w:t>
            </w:r>
          </w:p>
        </w:tc>
        <w:tc>
          <w:tcPr>
            <w:tcW w:type="dxa" w:w="907"/>
            <w:shd w:fill="F5F8F9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color w:val="0E7490"/>
                <w:sz w:val="24"/>
              </w:rPr>
              <w:t>11</w:t>
            </w:r>
          </w:p>
        </w:tc>
      </w:tr>
      <w:tr>
        <w:tc>
          <w:tcPr>
            <w:tcW w:type="dxa" w:w="7030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Arial" w:hAnsi="Arial" w:eastAsia="Arial" w:cs="Arial"/>
                <w:b/>
                <w:color w:val="143B5E"/>
                <w:sz w:val="24"/>
              </w:rPr>
              <w:t>References</w:t>
            </w:r>
          </w:p>
        </w:tc>
        <w:tc>
          <w:tcPr>
            <w:tcW w:type="dxa" w:w="907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color w:val="0E7490"/>
                <w:sz w:val="24"/>
              </w:rPr>
              <w:t>12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space="0" w:color="0E7490"/>
          <w:left w:val="single" w:sz="7" w:space="0" w:color="0E7490"/>
          <w:bottom w:val="single" w:sz="7" w:space="0" w:color="0E7490"/>
          <w:right w:val="single" w:sz="7" w:space="0" w:color="0E7490"/>
          <w:insideH w:val="single" w:sz="7" w:space="0" w:color="0E7490"/>
          <w:insideV w:val="single" w:sz="7" w:space="0" w:color="0E7490"/>
        </w:tblBorders>
      </w:tblPr>
      <w:tblGrid>
        <w:gridCol w:w="7937"/>
      </w:tblGrid>
      <w:tr>
        <w:tc>
          <w:tcPr>
            <w:tcW w:type="dxa" w:w="7937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 w:cs="Arial"/>
                <w:b/>
                <w:color w:val="0E7490"/>
                <w:sz w:val="21"/>
              </w:rPr>
              <w:t xml:space="preserve">Submission format  </w:t>
            </w:r>
            <w:r>
              <w:rPr>
                <w:rFonts w:ascii="Arial" w:hAnsi="Arial" w:eastAsia="Arial" w:cs="Arial"/>
                <w:i/>
                <w:color w:val="15242E"/>
                <w:sz w:val="21"/>
              </w:rPr>
              <w:t>English; A4; Arial 12 pt; single spacing; justified; margins 4/3/3/3 cm; PDF and Microsoft Word.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E7490"/>
          <w:left w:val="single" w:sz="8" w:space="0" w:color="0E7490"/>
          <w:bottom w:val="single" w:sz="8" w:space="0" w:color="0E7490"/>
          <w:right w:val="single" w:sz="8" w:space="0" w:color="0E7490"/>
          <w:insideH w:val="single" w:sz="8" w:space="0" w:color="0E7490"/>
          <w:insideV w:val="single" w:sz="8" w:space="0" w:color="0E7490"/>
        </w:tblBorders>
      </w:tblPr>
      <w:tblGrid>
        <w:gridCol w:w="7937"/>
      </w:tblGrid>
      <w:tr>
        <w:tc>
          <w:tcPr>
            <w:tcW w:type="dxa" w:w="7937"/>
            <w:shd w:fill="EAF3F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0E7490"/>
                <w:sz w:val="24"/>
              </w:rPr>
              <w:t>ABSTRACT</w:t>
            </w:r>
          </w:p>
        </w:tc>
      </w:tr>
    </w:tbl>
    <w:p>
      <w:pPr>
        <w:spacing w:line="240" w:lineRule="auto" w:before="0" w:after="16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  <w:t>Cervical cancer is largely preventable when screening, interpretation, communication, and follow-up operate as a continuous pathway. This study developed CerviCo-Pilot, an explainable and uncertainty-aware research prototype for clinician-in-the-loop cervical cytology screening support. The system separates a four-class cytology-grade output (NILM, LSIL, HSIL, and SCC) from an independent koilocytosis-morphology endpoint, and adds a binary normal/abnormal safety-triage view, Grad-CAM visual review support, Monte Carlo Dropout uncertainty, and a report lock that requires clinician sign-off before patient-facing communication. An EfficientNet-B0 grade model was trained and evaluated using 917 real images from the public Herlev cervical cytology dataset; segmentation masks were excluded from performance evidence. On the held-out test set (n=137), the legacy five-output evaluation had accuracy 0.6934, macro F1 0.5545, macro AUROC was 0.7311, and quadratic weighted kappa was 0.687. The binary safety-triage view achieved sensitivity 1.000, specificity 0.7222, AUROC 0.964, AUPRC 0.9856, and a confusion matrix of TP=101, TN=26, FP=10, and FN=0. Five-fold cross-validation produced binary sensitivity of 0.9867 +/- 0.0086 and AUROC of 0.9435 +/- 0.0448. Post-hoc temperature scaling improved held-out calibration metrics without materially changing discrimination. For the separate KOIL endpoint, EfficientNet-B0 was trained on all 4,049 official SIPaKMeD cropped cells using source-cluster-disjoint splits. On the locked test set (641 cells; 133 KOIL-positive), sensitivity was 0.9624, specificity 0.9764, AUROC 0.9912, AUPRC 0.9810, and ECE 0.0134; cluster-bootstrap 95% confidence intervals were 0.9167-0.9921 for sensitivity and 0.9583-0.9916 for specificity. The prototype demonstrates a complete review workflow rather than an autonomous diagnostic device. Herlev and SIPaKMeD are public conventional cytology domains; the system does not replace molecular HPV testing, and Thai ThinPrep validation, paired HPV endpoints, reader studies, and prospective evaluation remain necessary before clinical use.</w:t>
      </w:r>
    </w:p>
    <w:p>
      <w:pPr>
        <w:spacing w:line="240" w:lineRule="auto"/>
        <w:jc w:val="both"/>
      </w:pPr>
      <w:r>
        <w:rPr>
          <w:rFonts w:ascii="Arial" w:hAnsi="Arial" w:eastAsia="Arial" w:cs="Arial"/>
          <w:b/>
          <w:i/>
          <w:color w:val="143B5E"/>
          <w:sz w:val="24"/>
        </w:rPr>
        <w:t xml:space="preserve">Keywords: </w:t>
      </w:r>
      <w:r>
        <w:rPr>
          <w:rFonts w:ascii="Arial" w:hAnsi="Arial" w:eastAsia="Arial" w:cs="Arial"/>
          <w:i/>
          <w:color w:val="15242E"/>
          <w:sz w:val="24"/>
        </w:rPr>
        <w:t>cervical cytology, explainable artificial intelligence, uncertainty-aware triage, Grad-CAM, clinician-in-the-loop, ThinPrep, koilocytosis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space="0" w:color="B57B16"/>
          <w:left w:val="single" w:sz="7" w:space="0" w:color="B57B16"/>
          <w:bottom w:val="single" w:sz="7" w:space="0" w:color="B57B16"/>
          <w:right w:val="single" w:sz="7" w:space="0" w:color="B57B16"/>
          <w:insideH w:val="single" w:sz="7" w:space="0" w:color="B57B16"/>
          <w:insideV w:val="single" w:sz="7" w:space="0" w:color="B57B16"/>
        </w:tblBorders>
      </w:tblPr>
      <w:tblGrid>
        <w:gridCol w:w="7937"/>
      </w:tblGrid>
      <w:tr>
        <w:tc>
          <w:tcPr>
            <w:tcW w:type="dxa" w:w="7937"/>
            <w:shd w:fill="FFF8E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 w:cs="Arial"/>
                <w:b/>
                <w:color w:val="B57B16"/>
                <w:sz w:val="21"/>
              </w:rPr>
              <w:t xml:space="preserve">Evidence boundary  </w:t>
            </w:r>
            <w:r>
              <w:rPr>
                <w:rFonts w:ascii="Arial" w:hAnsi="Arial" w:eastAsia="Arial" w:cs="Arial"/>
                <w:i/>
                <w:color w:val="15242E"/>
                <w:sz w:val="21"/>
              </w:rPr>
              <w:t>Grade and triage evidence comes from Herlev; KOIL morphology evidence comes from SIPaKMeD conventional Pap-smear crops. Neither is Thai ThinPrep validation or molecular HPV testing.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E7490"/>
          <w:left w:val="single" w:sz="8" w:space="0" w:color="0E7490"/>
          <w:bottom w:val="single" w:sz="8" w:space="0" w:color="0E7490"/>
          <w:right w:val="single" w:sz="8" w:space="0" w:color="0E7490"/>
          <w:insideH w:val="single" w:sz="8" w:space="0" w:color="0E7490"/>
          <w:insideV w:val="single" w:sz="8" w:space="0" w:color="0E7490"/>
        </w:tblBorders>
      </w:tblPr>
      <w:tblGrid>
        <w:gridCol w:w="7937"/>
      </w:tblGrid>
      <w:tr>
        <w:tc>
          <w:tcPr>
            <w:tcW w:type="dxa" w:w="7937"/>
            <w:shd w:fill="EAF3F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0E7490"/>
                <w:sz w:val="24"/>
              </w:rPr>
              <w:t>CHAPTER 1</w:t>
            </w:r>
          </w:p>
        </w:tc>
      </w:tr>
    </w:tbl>
    <w:p>
      <w:pPr>
        <w:spacing w:line="240" w:lineRule="auto" w:before="100" w:after="10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INTRODUCTION</w:t>
      </w:r>
    </w:p>
    <w:p>
      <w:pPr>
        <w:keepNext/>
        <w:spacing w:line="240" w:lineRule="auto" w:before="80" w:after="4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1.1 Research Background</w:t>
      </w:r>
    </w:p>
    <w:p>
      <w:pPr>
        <w:spacing w:line="240" w:lineRule="auto" w:before="0" w:after="6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  <w:t>Cervical cancer remains an important public-health problem, yet it can be prevented or treated early when vaccination, screening, diagnosis, and follow-up are connected [1,2]. Cytology-based screening, including Pap and liquid-based preparations such as ThinPrep, examines cellular morphology, while HPV molecular testing detects viral material; the two modalities must not be described as interchangeable [3,4].</w:t>
      </w:r>
    </w:p>
    <w:p>
      <w:pPr>
        <w:spacing w:line="240" w:lineRule="auto" w:before="0" w:after="6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  <w:t>The practical gap is not limited to image classification. Screening programs also depend on timely review, understandable communication, and reliable referral. In settings with limited cytology expertise, a compact offline decision-support tool may help prioritize abnormal images, expose the image regions that influenced a prediction, and return uncertain cases to human review.</w:t>
      </w:r>
    </w:p>
    <w:p>
      <w:pPr>
        <w:keepNext/>
        <w:spacing w:line="240" w:lineRule="auto" w:before="80" w:after="4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1.2 Problem Statement</w:t>
      </w:r>
    </w:p>
    <w:p>
      <w:pPr>
        <w:spacing w:line="240" w:lineRule="auto" w:before="0" w:after="6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  <w:t>Many image classifiers provide only a label and confidence score. Such output is insufficient for a safety-sensitive workflow because confidence may be miscalibrated, explanations may be over-trusted, and patient-facing communication may be released without appropriate review. A useful prototype should combine grading, triage, explainability, uncertainty, and explicit clinician control.</w:t>
      </w:r>
    </w:p>
    <w:p>
      <w:pPr>
        <w:keepNext/>
        <w:spacing w:line="240" w:lineRule="auto" w:before="80" w:after="4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1.3 Research Objectives</w:t>
      </w:r>
    </w:p>
    <w:p>
      <w:pPr>
        <w:pStyle w:val="ListBullet"/>
        <w:spacing w:line="240" w:lineRule="auto" w:after="20"/>
      </w:pPr>
      <w:r>
        <w:rPr>
          <w:rFonts w:ascii="Arial" w:hAnsi="Arial" w:eastAsia="Arial" w:cs="Arial"/>
          <w:color w:val="15242E"/>
          <w:sz w:val="24"/>
        </w:rPr>
        <w:t>Develop a four-class Bethesda-style cervical cytology grading model.</w:t>
      </w:r>
    </w:p>
    <w:p>
      <w:pPr>
        <w:pStyle w:val="ListBullet"/>
        <w:spacing w:line="240" w:lineRule="auto" w:after="20"/>
      </w:pPr>
      <w:r>
        <w:rPr>
          <w:rFonts w:ascii="Arial" w:hAnsi="Arial" w:eastAsia="Arial" w:cs="Arial"/>
          <w:color w:val="15242E"/>
          <w:sz w:val="24"/>
        </w:rPr>
        <w:t>Develop a separate koilocytosis-morphology endpoint without treating KOIL as a Bethesda grade.</w:t>
      </w:r>
    </w:p>
    <w:p>
      <w:pPr>
        <w:pStyle w:val="ListBullet"/>
        <w:spacing w:line="240" w:lineRule="auto" w:after="20"/>
      </w:pPr>
      <w:r>
        <w:rPr>
          <w:rFonts w:ascii="Arial" w:hAnsi="Arial" w:eastAsia="Arial" w:cs="Arial"/>
          <w:color w:val="15242E"/>
          <w:sz w:val="24"/>
        </w:rPr>
        <w:t>Add a high-sensitivity binary safety-triage view without replacing the grade output.</w:t>
      </w:r>
    </w:p>
    <w:p>
      <w:pPr>
        <w:pStyle w:val="ListBullet"/>
        <w:spacing w:line="240" w:lineRule="auto" w:after="20"/>
      </w:pPr>
      <w:r>
        <w:rPr>
          <w:rFonts w:ascii="Arial" w:hAnsi="Arial" w:eastAsia="Arial" w:cs="Arial"/>
          <w:color w:val="15242E"/>
          <w:sz w:val="24"/>
        </w:rPr>
        <w:t>Provide Grad-CAM review support and uncertainty-aware abstention.</w:t>
      </w:r>
    </w:p>
    <w:p>
      <w:pPr>
        <w:pStyle w:val="ListBullet"/>
        <w:spacing w:line="240" w:lineRule="auto" w:after="20"/>
      </w:pPr>
      <w:r>
        <w:rPr>
          <w:rFonts w:ascii="Arial" w:hAnsi="Arial" w:eastAsia="Arial" w:cs="Arial"/>
          <w:color w:val="15242E"/>
          <w:sz w:val="24"/>
        </w:rPr>
        <w:t>Demonstrate clinician sign-off, report locking, and offline operation.</w:t>
      </w:r>
    </w:p>
    <w:p>
      <w:pPr>
        <w:pStyle w:val="ListBullet"/>
        <w:spacing w:line="240" w:lineRule="auto" w:after="20"/>
      </w:pPr>
      <w:r>
        <w:rPr>
          <w:rFonts w:ascii="Arial" w:hAnsi="Arial" w:eastAsia="Arial" w:cs="Arial"/>
          <w:color w:val="15242E"/>
          <w:sz w:val="24"/>
        </w:rPr>
        <w:t>Define a validation pathway for Thai ThinPrep images and paired HPV endpoints.</w:t>
      </w:r>
    </w:p>
    <w:p>
      <w:pPr>
        <w:keepNext/>
        <w:spacing w:line="240" w:lineRule="auto" w:before="80" w:after="4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1.4 Significance</w:t>
      </w:r>
    </w:p>
    <w:p>
      <w:pPr>
        <w:spacing w:line="240" w:lineRule="auto" w:before="0" w:after="6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  <w:t>The project contributes an integrated medical-AI workflow rather than an isolated classifier. It emphasizes reviewability, conservative communication, reproducible metrics, and explicit boundaries between current evidence and future clinical validation.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E7490"/>
          <w:left w:val="single" w:sz="8" w:space="0" w:color="0E7490"/>
          <w:bottom w:val="single" w:sz="8" w:space="0" w:color="0E7490"/>
          <w:right w:val="single" w:sz="8" w:space="0" w:color="0E7490"/>
          <w:insideH w:val="single" w:sz="8" w:space="0" w:color="0E7490"/>
          <w:insideV w:val="single" w:sz="8" w:space="0" w:color="0E7490"/>
        </w:tblBorders>
      </w:tblPr>
      <w:tblGrid>
        <w:gridCol w:w="7937"/>
      </w:tblGrid>
      <w:tr>
        <w:tc>
          <w:tcPr>
            <w:tcW w:type="dxa" w:w="7937"/>
            <w:shd w:fill="EAF3F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0E7490"/>
                <w:sz w:val="24"/>
              </w:rPr>
              <w:t>CHAPTER 2</w:t>
            </w:r>
          </w:p>
        </w:tc>
      </w:tr>
    </w:tbl>
    <w:p>
      <w:pPr>
        <w:spacing w:line="240" w:lineRule="auto" w:before="100" w:after="10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LITERATURE REVIEW</w:t>
      </w:r>
    </w:p>
    <w:p>
      <w:pPr>
        <w:keepNext/>
        <w:spacing w:line="240" w:lineRule="auto" w:before="80" w:after="4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2.1 Cervical Cytology and the Bethesda Framework</w:t>
      </w:r>
    </w:p>
    <w:p>
      <w:pPr>
        <w:spacing w:line="240" w:lineRule="auto" w:before="0" w:after="6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  <w:t>The Bethesda System standardizes cervical cytology terminology and distinguishes negative findings from low-grade, high-grade, and malignant squamous abnormalities [4]. Preserving multiple classes supports clinical communication, whereas a secondary binary view is useful for screening-safety analysis.</w:t>
      </w:r>
    </w:p>
    <w:p>
      <w:pPr>
        <w:keepNext/>
        <w:spacing w:line="240" w:lineRule="auto" w:before="80" w:after="4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2.2 Image Classification and Explainability</w:t>
      </w:r>
    </w:p>
    <w:p>
      <w:pPr>
        <w:spacing w:line="240" w:lineRule="auto" w:before="0" w:after="6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  <w:t>The Herlev benchmark contains 917 single-cell cervical cytology images [5]. SIPaKMeD provides 4,049 cropped cells from 966 source cluster images across five morphology classes, including 825 koilocytotic cells [14]. EfficientNet provides an efficient scaling strategy for offline image models [6]. Grad-CAM localizes regions associated with a class score [7], but it remains a review aid rather than causal proof.</w:t>
      </w:r>
    </w:p>
    <w:p>
      <w:pPr>
        <w:keepNext/>
        <w:spacing w:line="240" w:lineRule="auto" w:before="80" w:after="4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2.3 Uncertainty, Calibration, and Governance</w:t>
      </w:r>
    </w:p>
    <w:p>
      <w:pPr>
        <w:spacing w:line="240" w:lineRule="auto" w:before="0" w:after="6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  <w:t>Monte Carlo Dropout provides an approximate uncertainty signal [8], while temperature scaling can improve probability calibration without changing class ordering [9]. Medical-AI guidance emphasizes representative data, human-AI interaction, lifecycle monitoring, and transparent reporting [10-12]. Dataset shift remains a major risk when moving from a public benchmark to a different population, preparation method, microscope, or camera [13].</w:t>
      </w:r>
    </w:p>
    <w:p>
      <w:pPr>
        <w:keepNext/>
        <w:spacing w:line="240" w:lineRule="auto" w:before="60" w:after="40"/>
        <w:jc w:val="center"/>
      </w:pPr>
      <w:r>
        <w:rPr>
          <w:rFonts w:ascii="Arial" w:hAnsi="Arial" w:eastAsia="Arial" w:cs="Arial"/>
          <w:b/>
          <w:i w:val="0"/>
          <w:color w:val="143B5E"/>
          <w:sz w:val="21"/>
        </w:rPr>
        <w:t>Table 1. Design principles derived from the literature.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8CF"/>
          <w:left w:val="single" w:sz="5" w:space="0" w:color="B8C8CF"/>
          <w:bottom w:val="single" w:sz="5" w:space="0" w:color="B8C8CF"/>
          <w:right w:val="single" w:sz="5" w:space="0" w:color="B8C8CF"/>
          <w:insideH w:val="single" w:sz="5" w:space="0" w:color="B8C8CF"/>
          <w:insideV w:val="single" w:sz="5" w:space="0" w:color="B8C8CF"/>
        </w:tblBorders>
      </w:tblPr>
      <w:tblGrid>
        <w:gridCol w:w="2646"/>
        <w:gridCol w:w="2646"/>
        <w:gridCol w:w="2646"/>
      </w:tblGrid>
      <w:tr>
        <w:trPr>
          <w:tblHeader w:val="true"/>
        </w:trPr>
        <w:tc>
          <w:tcPr>
            <w:tcW w:type="dxa" w:w="1757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3402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System implementation</w:t>
            </w:r>
          </w:p>
        </w:tc>
        <w:tc>
          <w:tcPr>
            <w:tcW w:type="dxa" w:w="2778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Boundary</w:t>
            </w:r>
          </w:p>
        </w:tc>
      </w:tr>
      <w:t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Structured cytology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Four-class Bethesda-style grade</w:t>
            </w:r>
          </w:p>
        </w:tc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Not a final cytology report</w:t>
            </w:r>
          </w:p>
        </w:tc>
      </w:tr>
      <w:tr>
        <w:tc>
          <w:tcPr>
            <w:tcW w:type="dxa" w:w="1757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KOIL morphology</w:t>
            </w:r>
          </w:p>
        </w:tc>
        <w:tc>
          <w:tcPr>
            <w:tcW w:type="dxa" w:w="3402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Independent one-vs-rest endpoint</w:t>
            </w:r>
          </w:p>
        </w:tc>
        <w:tc>
          <w:tcPr>
            <w:tcW w:type="dxa" w:w="2778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Not HPV DNA/RNA status</w:t>
            </w:r>
          </w:p>
        </w:tc>
      </w:tr>
      <w:t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Screening safety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Binary normal/abnormal triage</w:t>
            </w:r>
          </w:p>
        </w:tc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Not the sole product output</w:t>
            </w:r>
          </w:p>
        </w:tc>
      </w:tr>
      <w:tr>
        <w:tc>
          <w:tcPr>
            <w:tcW w:type="dxa" w:w="1757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Explainability</w:t>
            </w:r>
          </w:p>
        </w:tc>
        <w:tc>
          <w:tcPr>
            <w:tcW w:type="dxa" w:w="3402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Grad-CAM heatmap</w:t>
            </w:r>
          </w:p>
        </w:tc>
        <w:tc>
          <w:tcPr>
            <w:tcW w:type="dxa" w:w="2778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Review aid, not causal proof</w:t>
            </w:r>
          </w:p>
        </w:tc>
      </w:tr>
      <w:t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Uncertainty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MC Dropout and abstention</w:t>
            </w:r>
          </w:p>
        </w:tc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Requires external validation</w:t>
            </w:r>
          </w:p>
        </w:tc>
      </w:tr>
      <w:tr>
        <w:tc>
          <w:tcPr>
            <w:tcW w:type="dxa" w:w="1757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Governance</w:t>
            </w:r>
          </w:p>
        </w:tc>
        <w:tc>
          <w:tcPr>
            <w:tcW w:type="dxa" w:w="3402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Clinician sign-off and report lock</w:t>
            </w:r>
          </w:p>
        </w:tc>
        <w:tc>
          <w:tcPr>
            <w:tcW w:type="dxa" w:w="2778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Demo workflow only</w:t>
            </w:r>
          </w:p>
        </w:tc>
      </w:tr>
    </w:tbl>
    <w:p>
      <w:pPr>
        <w:spacing w:line="240" w:lineRule="auto" w:before="0" w:after="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E7490"/>
          <w:left w:val="single" w:sz="8" w:space="0" w:color="0E7490"/>
          <w:bottom w:val="single" w:sz="8" w:space="0" w:color="0E7490"/>
          <w:right w:val="single" w:sz="8" w:space="0" w:color="0E7490"/>
          <w:insideH w:val="single" w:sz="8" w:space="0" w:color="0E7490"/>
          <w:insideV w:val="single" w:sz="8" w:space="0" w:color="0E7490"/>
        </w:tblBorders>
      </w:tblPr>
      <w:tblGrid>
        <w:gridCol w:w="7937"/>
      </w:tblGrid>
      <w:tr>
        <w:tc>
          <w:tcPr>
            <w:tcW w:type="dxa" w:w="7937"/>
            <w:shd w:fill="EAF3F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0E7490"/>
                <w:sz w:val="24"/>
              </w:rPr>
              <w:t>CHAPTER 3</w:t>
            </w:r>
          </w:p>
        </w:tc>
      </w:tr>
    </w:tbl>
    <w:p>
      <w:pPr>
        <w:spacing w:line="240" w:lineRule="auto" w:before="100" w:after="10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RESEARCH METHOD</w:t>
      </w:r>
    </w:p>
    <w:p>
      <w:pPr>
        <w:keepNext/>
        <w:spacing w:line="240" w:lineRule="auto" w:before="80" w:after="4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3.1 Study Design and Dataset</w:t>
      </w:r>
    </w:p>
    <w:p>
      <w:pPr>
        <w:spacing w:line="240" w:lineRule="auto" w:before="0" w:after="6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  <w:t>This retrospective model-development and prototype-integration study used two public datasets. Grade and binary-triage evidence used 917 real Herlev images [5], with segmentation masks and synthetic experiments excluded. The independent KOIL endpoint used all 4,049 official SIPaKMeD cropped cells from 966 source clusters [14].</w:t>
      </w:r>
    </w:p>
    <w:p>
      <w:pPr>
        <w:keepNext/>
        <w:spacing w:line="240" w:lineRule="auto" w:before="60" w:after="40"/>
        <w:jc w:val="center"/>
      </w:pPr>
      <w:r>
        <w:rPr>
          <w:rFonts w:ascii="Arial" w:hAnsi="Arial" w:eastAsia="Arial" w:cs="Arial"/>
          <w:b/>
          <w:i w:val="0"/>
          <w:color w:val="143B5E"/>
          <w:sz w:val="21"/>
        </w:rPr>
        <w:t>Table 2. Dataset and model card summary.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8CF"/>
          <w:left w:val="single" w:sz="5" w:space="0" w:color="B8C8CF"/>
          <w:bottom w:val="single" w:sz="5" w:space="0" w:color="B8C8CF"/>
          <w:right w:val="single" w:sz="5" w:space="0" w:color="B8C8CF"/>
          <w:insideH w:val="single" w:sz="5" w:space="0" w:color="B8C8CF"/>
          <w:insideV w:val="single" w:sz="5" w:space="0" w:color="B8C8CF"/>
        </w:tblBorders>
      </w:tblPr>
      <w:tblGrid>
        <w:gridCol w:w="3968"/>
        <w:gridCol w:w="3968"/>
      </w:tblGrid>
      <w:tr>
        <w:trPr>
          <w:tblHeader w:val="true"/>
        </w:trPr>
        <w:tc>
          <w:tcPr>
            <w:tcW w:type="dxa" w:w="2324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613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Grade/triage dataset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Herlev: 917 real images; masks excluded</w:t>
            </w:r>
          </w:p>
        </w:tc>
      </w:tr>
      <w:tr>
        <w:tc>
          <w:tcPr>
            <w:tcW w:type="dxa" w:w="2324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KOIL dataset</w:t>
            </w:r>
          </w:p>
        </w:tc>
        <w:tc>
          <w:tcPr>
            <w:tcW w:type="dxa" w:w="5613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SIPaKMeD: 4,049 cells from 966 source clusters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Architecture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EfficientNet-B0 with ImageNet transfer learning</w:t>
            </w:r>
          </w:p>
        </w:tc>
      </w:tr>
      <w:tr>
        <w:tc>
          <w:tcPr>
            <w:tcW w:type="dxa" w:w="2324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Grade output</w:t>
            </w:r>
          </w:p>
        </w:tc>
        <w:tc>
          <w:tcPr>
            <w:tcW w:type="dxa" w:w="5613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NILM, LSIL, HSIL, SCC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KOIL output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Independent koilocytosis morphology probability</w:t>
            </w:r>
          </w:p>
        </w:tc>
      </w:tr>
      <w:tr>
        <w:tc>
          <w:tcPr>
            <w:tcW w:type="dxa" w:w="2324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Evidence status</w:t>
            </w:r>
          </w:p>
        </w:tc>
        <w:tc>
          <w:tcPr>
            <w:tcW w:type="dxa" w:w="5613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Internal public-dataset validation; no Thai ThinPrep evidence</w:t>
            </w:r>
          </w:p>
        </w:tc>
      </w:tr>
    </w:tbl>
    <w:p>
      <w:pPr>
        <w:spacing w:line="240" w:lineRule="auto" w:before="0" w:after="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</w:r>
    </w:p>
    <w:p>
      <w:pPr>
        <w:keepNext/>
        <w:spacing w:line="240" w:lineRule="auto" w:before="80" w:after="4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3.2 End-to-End Workflow</w:t>
      </w:r>
    </w:p>
    <w:p>
      <w:pPr>
        <w:spacing w:line="240" w:lineRule="auto" w:before="0" w:after="6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  <w:t>The workflow accepts a cytology image, returns four grade probabilities, binary triage, and an independent KOIL morphology assessment. Grade and KOIL use class-specific Grad-CAM review. Uncertainty and image-quality gates route unsafe cases to clinician confirmation, correction, or rejection; patient-facing output remains locked until all gates pass.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752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60"/>
        <w:jc w:val="center"/>
      </w:pPr>
      <w:r>
        <w:rPr>
          <w:rFonts w:ascii="Arial" w:hAnsi="Arial" w:eastAsia="Arial" w:cs="Arial"/>
          <w:b w:val="0"/>
          <w:i/>
          <w:color w:val="526773"/>
          <w:sz w:val="20"/>
        </w:rPr>
        <w:t>Figure 1. CerviCo-Pilot clinician-in-the-loop workflow.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E7490"/>
          <w:left w:val="single" w:sz="8" w:space="0" w:color="0E7490"/>
          <w:bottom w:val="single" w:sz="8" w:space="0" w:color="0E7490"/>
          <w:right w:val="single" w:sz="8" w:space="0" w:color="0E7490"/>
          <w:insideH w:val="single" w:sz="8" w:space="0" w:color="0E7490"/>
          <w:insideV w:val="single" w:sz="8" w:space="0" w:color="0E7490"/>
        </w:tblBorders>
      </w:tblPr>
      <w:tblGrid>
        <w:gridCol w:w="7937"/>
      </w:tblGrid>
      <w:tr>
        <w:tc>
          <w:tcPr>
            <w:tcW w:type="dxa" w:w="7937"/>
            <w:shd w:fill="EAF3F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0E7490"/>
                <w:sz w:val="24"/>
              </w:rPr>
              <w:t>CHAPTER 3</w:t>
            </w:r>
          </w:p>
        </w:tc>
      </w:tr>
    </w:tbl>
    <w:p>
      <w:pPr>
        <w:spacing w:line="240" w:lineRule="auto" w:before="100" w:after="10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RESEARCH METHOD (CONTINUED)</w:t>
      </w:r>
    </w:p>
    <w:p>
      <w:pPr>
        <w:keepNext/>
        <w:spacing w:line="240" w:lineRule="auto" w:before="80" w:after="4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3.3 Model Development and Evaluation</w:t>
      </w:r>
    </w:p>
    <w:p>
      <w:pPr>
        <w:spacing w:line="240" w:lineRule="auto" w:before="0" w:after="6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  <w:t>Images were resized for EfficientNet-B0 input and processed through canonical pipelines. Herlev grade/triage metrics were reproduced from models/best_cervical.pt. For SIPaKMeD, source clusters were split before training (676/145/145 clusters for train/validation/test), preventing cropped cells from the same cluster crossing splits. Model selection, temperature scaling, and a sensitivity-constrained KOIL threshold were fixed on validation data before one-time test evaluation.</w:t>
      </w:r>
    </w:p>
    <w:p>
      <w:pPr>
        <w:keepNext/>
        <w:spacing w:line="240" w:lineRule="auto" w:before="60" w:after="40"/>
        <w:jc w:val="center"/>
      </w:pPr>
      <w:r>
        <w:rPr>
          <w:rFonts w:ascii="Arial" w:hAnsi="Arial" w:eastAsia="Arial" w:cs="Arial"/>
          <w:b/>
          <w:i w:val="0"/>
          <w:color w:val="143B5E"/>
          <w:sz w:val="21"/>
        </w:rPr>
        <w:t>Table 3. Reproducible evaluation specification.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8CF"/>
          <w:left w:val="single" w:sz="5" w:space="0" w:color="B8C8CF"/>
          <w:bottom w:val="single" w:sz="5" w:space="0" w:color="B8C8CF"/>
          <w:right w:val="single" w:sz="5" w:space="0" w:color="B8C8CF"/>
          <w:insideH w:val="single" w:sz="5" w:space="0" w:color="B8C8CF"/>
          <w:insideV w:val="single" w:sz="5" w:space="0" w:color="B8C8CF"/>
        </w:tblBorders>
      </w:tblPr>
      <w:tblGrid>
        <w:gridCol w:w="2646"/>
        <w:gridCol w:w="2646"/>
        <w:gridCol w:w="2646"/>
      </w:tblGrid>
      <w:tr>
        <w:trPr>
          <w:tblHeader w:val="true"/>
        </w:trPr>
        <w:tc>
          <w:tcPr>
            <w:tcW w:type="dxa" w:w="1984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061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Specification</w:t>
            </w:r>
          </w:p>
        </w:tc>
        <w:tc>
          <w:tcPr>
            <w:tcW w:type="dxa" w:w="2891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Held-out evaluation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n=137; TTA enabled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Primary test evidence</w:t>
            </w:r>
          </w:p>
        </w:tc>
      </w:tr>
      <w:tr>
        <w:tc>
          <w:tcPr>
            <w:tcW w:type="dxa" w:w="1984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KOIL locked test</w:t>
            </w:r>
          </w:p>
        </w:tc>
        <w:tc>
          <w:tcPr>
            <w:tcW w:type="dxa" w:w="3061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641 cells; 145 clusters</w:t>
            </w:r>
          </w:p>
        </w:tc>
        <w:tc>
          <w:tcPr>
            <w:tcW w:type="dxa" w:w="2891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Independent endpoint evidence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Bootstrap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2,000 percentile resamples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Confidence intervals</w:t>
            </w:r>
          </w:p>
        </w:tc>
      </w:tr>
      <w:tr>
        <w:tc>
          <w:tcPr>
            <w:tcW w:type="dxa" w:w="1984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Cross-validation</w:t>
            </w:r>
          </w:p>
        </w:tc>
        <w:tc>
          <w:tcPr>
            <w:tcW w:type="dxa" w:w="3061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Five folds; mean +/- SD</w:t>
            </w:r>
          </w:p>
        </w:tc>
        <w:tc>
          <w:tcPr>
            <w:tcW w:type="dxa" w:w="2891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Split robustness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Binary threshold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0.50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Normal/abnormal triage</w:t>
            </w:r>
          </w:p>
        </w:tc>
      </w:tr>
      <w:tr>
        <w:tc>
          <w:tcPr>
            <w:tcW w:type="dxa" w:w="1984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Calibration</w:t>
            </w:r>
          </w:p>
        </w:tc>
        <w:tc>
          <w:tcPr>
            <w:tcW w:type="dxa" w:w="3061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Temperature=0.794103</w:t>
            </w:r>
          </w:p>
        </w:tc>
        <w:tc>
          <w:tcPr>
            <w:tcW w:type="dxa" w:w="2891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Post-hoc probability scaling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KOIL calibration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Temperature=0.838126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Validation-fit; test locked</w:t>
            </w:r>
          </w:p>
        </w:tc>
      </w:tr>
      <w:tr>
        <w:tc>
          <w:tcPr>
            <w:tcW w:type="dxa" w:w="1984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Explainability</w:t>
            </w:r>
          </w:p>
        </w:tc>
        <w:tc>
          <w:tcPr>
            <w:tcW w:type="dxa" w:w="3061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Grad-CAM</w:t>
            </w:r>
          </w:p>
        </w:tc>
        <w:tc>
          <w:tcPr>
            <w:tcW w:type="dxa" w:w="2891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Visual review support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Uncertainty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MC Dropout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Abstention signal</w:t>
            </w:r>
          </w:p>
        </w:tc>
      </w:tr>
    </w:tbl>
    <w:p>
      <w:pPr>
        <w:spacing w:line="240" w:lineRule="auto" w:before="0" w:after="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</w:r>
    </w:p>
    <w:p>
      <w:pPr>
        <w:keepNext/>
        <w:spacing w:line="240" w:lineRule="auto" w:before="80" w:after="4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3.4 Metrics and Safety Policy</w:t>
      </w:r>
    </w:p>
    <w:p>
      <w:pPr>
        <w:spacing w:line="240" w:lineRule="auto" w:before="0" w:after="6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  <w:t>Legacy grade evaluation included accuracy, macro F1, macro AUROC, per-class recall, and quadratic weighted kappa. Binary triage and KOIL one-vs-rest evaluation included sensitivity, specificity, AUROC, AUPRC, precision, F1, and confusion counts. KOIL confidence intervals used 2,000 source-cluster bootstrap resamples. Calibration used ECE and Brier score. High uncertainty triggers abstention and blocks patient-report release.</w:t>
      </w:r>
    </w:p>
    <w:p>
      <w:pPr>
        <w:keepNext/>
        <w:spacing w:line="240" w:lineRule="auto" w:before="80" w:after="4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3.5 Prototype System</w:t>
      </w:r>
    </w:p>
    <w:p>
      <w:pPr>
        <w:spacing w:line="240" w:lineRule="auto" w:before="0" w:after="6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  <w:t>The React/FastAPI prototype supports sample review, image upload, separate grade and KOIL probabilities, class-specific Grad-CAM, confirm/edit/reject actions, report export, and an audit demonstration. It is intended for supervised research demonstration and does not satisfy regulated clinical deployment requirements.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space="0" w:color="B57B16"/>
          <w:left w:val="single" w:sz="7" w:space="0" w:color="B57B16"/>
          <w:bottom w:val="single" w:sz="7" w:space="0" w:color="B57B16"/>
          <w:right w:val="single" w:sz="7" w:space="0" w:color="B57B16"/>
          <w:insideH w:val="single" w:sz="7" w:space="0" w:color="B57B16"/>
          <w:insideV w:val="single" w:sz="7" w:space="0" w:color="B57B16"/>
        </w:tblBorders>
      </w:tblPr>
      <w:tblGrid>
        <w:gridCol w:w="7937"/>
      </w:tblGrid>
      <w:tr>
        <w:tc>
          <w:tcPr>
            <w:tcW w:type="dxa" w:w="7937"/>
            <w:shd w:fill="FFF8E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 w:cs="Arial"/>
                <w:b/>
                <w:color w:val="B57B16"/>
                <w:sz w:val="21"/>
              </w:rPr>
              <w:t xml:space="preserve">Do-not-use boundary  </w:t>
            </w:r>
            <w:r>
              <w:rPr>
                <w:rFonts w:ascii="Arial" w:hAnsi="Arial" w:eastAsia="Arial" w:cs="Arial"/>
                <w:i/>
                <w:color w:val="15242E"/>
                <w:sz w:val="21"/>
              </w:rPr>
              <w:t>No autonomous diagnosis, molecular HPV status, unsupervised patient release, or Thai-domain performance claim.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E7490"/>
          <w:left w:val="single" w:sz="8" w:space="0" w:color="0E7490"/>
          <w:bottom w:val="single" w:sz="8" w:space="0" w:color="0E7490"/>
          <w:right w:val="single" w:sz="8" w:space="0" w:color="0E7490"/>
          <w:insideH w:val="single" w:sz="8" w:space="0" w:color="0E7490"/>
          <w:insideV w:val="single" w:sz="8" w:space="0" w:color="0E7490"/>
        </w:tblBorders>
      </w:tblPr>
      <w:tblGrid>
        <w:gridCol w:w="7937"/>
      </w:tblGrid>
      <w:tr>
        <w:tc>
          <w:tcPr>
            <w:tcW w:type="dxa" w:w="7937"/>
            <w:shd w:fill="EAF3F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0E7490"/>
                <w:sz w:val="24"/>
              </w:rPr>
              <w:t>CHAPTER 4</w:t>
            </w:r>
          </w:p>
        </w:tc>
      </w:tr>
    </w:tbl>
    <w:p>
      <w:pPr>
        <w:spacing w:line="240" w:lineRule="auto" w:before="100" w:after="10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RESULTS AND DISCUSSION</w:t>
      </w:r>
    </w:p>
    <w:p>
      <w:pPr>
        <w:keepNext/>
        <w:spacing w:line="240" w:lineRule="auto" w:before="80" w:after="4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4.1 Primary Quantitative Results</w:t>
      </w:r>
    </w:p>
    <w:p>
      <w:pPr>
        <w:keepNext/>
        <w:spacing w:line="240" w:lineRule="auto" w:before="60" w:after="40"/>
        <w:jc w:val="center"/>
      </w:pPr>
      <w:r>
        <w:rPr>
          <w:rFonts w:ascii="Arial" w:hAnsi="Arial" w:eastAsia="Arial" w:cs="Arial"/>
          <w:b/>
          <w:i w:val="0"/>
          <w:color w:val="143B5E"/>
          <w:sz w:val="21"/>
        </w:rPr>
        <w:t>Table 4. Held-out and cross-validation results.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8CF"/>
          <w:left w:val="single" w:sz="5" w:space="0" w:color="B8C8CF"/>
          <w:bottom w:val="single" w:sz="5" w:space="0" w:color="B8C8CF"/>
          <w:right w:val="single" w:sz="5" w:space="0" w:color="B8C8CF"/>
          <w:insideH w:val="single" w:sz="5" w:space="0" w:color="B8C8CF"/>
          <w:insideV w:val="single" w:sz="5" w:space="0" w:color="B8C8CF"/>
        </w:tblBorders>
      </w:tblPr>
      <w:tblGrid>
        <w:gridCol w:w="2646"/>
        <w:gridCol w:w="2646"/>
        <w:gridCol w:w="2646"/>
      </w:tblGrid>
      <w:tr>
        <w:trPr>
          <w:tblHeader w:val="true"/>
        </w:trPr>
        <w:tc>
          <w:tcPr>
            <w:tcW w:type="dxa" w:w="2835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2041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3061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Legacy five-output accuracy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0.6934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KOIL unsupported in Herlev</w:t>
            </w:r>
          </w:p>
        </w:tc>
      </w:tr>
      <w:tr>
        <w:tc>
          <w:tcPr>
            <w:tcW w:type="dxa" w:w="2835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Legacy macro F1 / AUROC</w:t>
            </w:r>
          </w:p>
        </w:tc>
        <w:tc>
          <w:tcPr>
            <w:tcW w:type="dxa" w:w="2041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0.5545 / 0.7311</w:t>
            </w:r>
          </w:p>
        </w:tc>
        <w:tc>
          <w:tcPr>
            <w:tcW w:type="dxa" w:w="3061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Includes unsupported KOIL output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Quadratic weighted kappa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0.687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Severity agreement</w:t>
            </w:r>
          </w:p>
        </w:tc>
      </w:tr>
      <w:tr>
        <w:tc>
          <w:tcPr>
            <w:tcW w:type="dxa" w:w="2835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Binary sensitivity / specificity</w:t>
            </w:r>
          </w:p>
        </w:tc>
        <w:tc>
          <w:tcPr>
            <w:tcW w:type="dxa" w:w="2041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1.000 / 0.7222</w:t>
            </w:r>
          </w:p>
        </w:tc>
        <w:tc>
          <w:tcPr>
            <w:tcW w:type="dxa" w:w="3061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FN=0; some over-referral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Binary AUROC / AUPRC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0.964 / 0.9856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Strong Herlev triage</w:t>
            </w:r>
          </w:p>
        </w:tc>
      </w:tr>
      <w:tr>
        <w:tc>
          <w:tcPr>
            <w:tcW w:type="dxa" w:w="2835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Five-fold sensitivity</w:t>
            </w:r>
          </w:p>
        </w:tc>
        <w:tc>
          <w:tcPr>
            <w:tcW w:type="dxa" w:w="2041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0.9867 +/- 0.0086</w:t>
            </w:r>
          </w:p>
        </w:tc>
        <w:tc>
          <w:tcPr>
            <w:tcW w:type="dxa" w:w="3061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High across folds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Five-fold AUROC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0.9435 +/- 0.0448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Within-domain robustness</w:t>
            </w:r>
          </w:p>
        </w:tc>
      </w:tr>
    </w:tbl>
    <w:p>
      <w:pPr>
        <w:spacing w:line="240" w:lineRule="auto" w:before="0" w:after="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3968"/>
        <w:gridCol w:w="3968"/>
      </w:tblGrid>
      <w:tr>
        <w:tc>
          <w:tcPr>
            <w:tcW w:type="dxa" w:w="385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0000" cy="163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line_metric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16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0000" cy="163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v_fold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16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968"/>
            <w:tcMar>
              <w:top w:w="20" w:type="dxa"/>
              <w:start w:w="60" w:type="dxa"/>
              <w:bottom w:w="4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i/>
                <w:color w:val="526773"/>
                <w:sz w:val="19"/>
              </w:rPr>
              <w:t>Figure 2. Held-out headline metrics.</w:t>
            </w:r>
          </w:p>
        </w:tc>
        <w:tc>
          <w:tcPr>
            <w:tcW w:type="dxa" w:w="3968"/>
            <w:tcMar>
              <w:top w:w="20" w:type="dxa"/>
              <w:start w:w="60" w:type="dxa"/>
              <w:bottom w:w="4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i/>
                <w:color w:val="526773"/>
                <w:sz w:val="19"/>
              </w:rPr>
              <w:t>Figure 3. Five-fold cross-validation.</w:t>
            </w:r>
          </w:p>
        </w:tc>
      </w:tr>
    </w:tbl>
    <w:p>
      <w:pPr>
        <w:spacing w:line="240" w:lineRule="auto" w:before="0" w:after="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</w:r>
    </w:p>
    <w:p>
      <w:pPr>
        <w:spacing w:line="240" w:lineRule="auto" w:before="0" w:after="6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  <w:t>The historical checkpoint used a five-output head, but Herlev contained no true KOIL support; the deployed interface therefore exposes only four grade classes and obtains KOIL morphology from the separate SIPaKMeD model. Binary triage achieved high sensitivity and remains a safety view rather than a replacement for detailed grade review.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E7490"/>
          <w:left w:val="single" w:sz="8" w:space="0" w:color="0E7490"/>
          <w:bottom w:val="single" w:sz="8" w:space="0" w:color="0E7490"/>
          <w:right w:val="single" w:sz="8" w:space="0" w:color="0E7490"/>
          <w:insideH w:val="single" w:sz="8" w:space="0" w:color="0E7490"/>
          <w:insideV w:val="single" w:sz="8" w:space="0" w:color="0E7490"/>
        </w:tblBorders>
      </w:tblPr>
      <w:tblGrid>
        <w:gridCol w:w="7937"/>
      </w:tblGrid>
      <w:tr>
        <w:tc>
          <w:tcPr>
            <w:tcW w:type="dxa" w:w="7937"/>
            <w:shd w:fill="EAF3F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0E7490"/>
                <w:sz w:val="24"/>
              </w:rPr>
              <w:t>CHAPTER 4</w:t>
            </w:r>
          </w:p>
        </w:tc>
      </w:tr>
    </w:tbl>
    <w:p>
      <w:pPr>
        <w:spacing w:line="240" w:lineRule="auto" w:before="100" w:after="10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RESULTS AND DISCUSSION (CONTINUED)</w:t>
      </w:r>
    </w:p>
    <w:p>
      <w:pPr>
        <w:keepNext/>
        <w:spacing w:line="240" w:lineRule="auto" w:before="80" w:after="4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4.2 Grade Error Analysis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700000" cy="19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lev_grade_confusion_4cl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60"/>
        <w:jc w:val="center"/>
      </w:pPr>
      <w:r>
        <w:rPr>
          <w:rFonts w:ascii="Arial" w:hAnsi="Arial" w:eastAsia="Arial" w:cs="Arial"/>
          <w:b w:val="0"/>
          <w:i/>
          <w:color w:val="526773"/>
          <w:sz w:val="20"/>
        </w:rPr>
        <w:t>Figure 4. Herlev confusion matrix for the four supported grade classes.</w:t>
      </w:r>
    </w:p>
    <w:p>
      <w:pPr>
        <w:keepNext/>
        <w:spacing w:line="240" w:lineRule="auto" w:before="60" w:after="40"/>
        <w:jc w:val="center"/>
      </w:pPr>
      <w:r>
        <w:rPr>
          <w:rFonts w:ascii="Arial" w:hAnsi="Arial" w:eastAsia="Arial" w:cs="Arial"/>
          <w:b/>
          <w:i w:val="0"/>
          <w:color w:val="143B5E"/>
          <w:sz w:val="21"/>
        </w:rPr>
        <w:t>Table 5. Herlev held-out per-class recall.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8CF"/>
          <w:left w:val="single" w:sz="5" w:space="0" w:color="B8C8CF"/>
          <w:bottom w:val="single" w:sz="5" w:space="0" w:color="B8C8CF"/>
          <w:right w:val="single" w:sz="5" w:space="0" w:color="B8C8CF"/>
          <w:insideH w:val="single" w:sz="5" w:space="0" w:color="B8C8CF"/>
          <w:insideV w:val="single" w:sz="5" w:space="0" w:color="B8C8CF"/>
        </w:tblBorders>
      </w:tblPr>
      <w:tblGrid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361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1247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Support</w:t>
            </w:r>
          </w:p>
        </w:tc>
        <w:tc>
          <w:tcPr>
            <w:tcW w:type="dxa" w:w="1247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4082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NILM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36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0.7222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False positives reduce specificity</w:t>
            </w:r>
          </w:p>
        </w:tc>
      </w:tr>
      <w:tr>
        <w:tc>
          <w:tcPr>
            <w:tcW w:type="dxa" w:w="1361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LSIL</w:t>
            </w:r>
          </w:p>
        </w:tc>
        <w:tc>
          <w:tcPr>
            <w:tcW w:type="dxa" w:w="1247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49</w:t>
            </w:r>
          </w:p>
        </w:tc>
        <w:tc>
          <w:tcPr>
            <w:tcW w:type="dxa" w:w="1247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0.6122</w:t>
            </w:r>
          </w:p>
        </w:tc>
        <w:tc>
          <w:tcPr>
            <w:tcW w:type="dxa" w:w="4082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Overlap with higher-grade morphology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HSIL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30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0.8667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Strongest high-grade recall</w:t>
            </w:r>
          </w:p>
        </w:tc>
      </w:tr>
      <w:tr>
        <w:tc>
          <w:tcPr>
            <w:tcW w:type="dxa" w:w="1361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SCC</w:t>
            </w:r>
          </w:p>
        </w:tc>
        <w:tc>
          <w:tcPr>
            <w:tcW w:type="dxa" w:w="1247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22</w:t>
            </w:r>
          </w:p>
        </w:tc>
        <w:tc>
          <w:tcPr>
            <w:tcW w:type="dxa" w:w="1247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0.5909</w:t>
            </w:r>
          </w:p>
        </w:tc>
        <w:tc>
          <w:tcPr>
            <w:tcW w:type="dxa" w:w="4082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7"/>
              </w:rPr>
              <w:t>Requires improvement</w:t>
            </w:r>
          </w:p>
        </w:tc>
      </w:tr>
    </w:tbl>
    <w:p>
      <w:pPr>
        <w:spacing w:line="240" w:lineRule="auto" w:before="0" w:after="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</w:r>
    </w:p>
    <w:p>
      <w:pPr>
        <w:keepNext/>
        <w:spacing w:line="240" w:lineRule="auto" w:before="80" w:after="4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4.3 Independent KOIL Morphology Endpoint</w:t>
      </w:r>
    </w:p>
    <w:p>
      <w:pPr>
        <w:keepNext/>
        <w:spacing w:line="240" w:lineRule="auto" w:before="60" w:after="40"/>
        <w:jc w:val="center"/>
      </w:pPr>
      <w:r>
        <w:rPr>
          <w:rFonts w:ascii="Arial" w:hAnsi="Arial" w:eastAsia="Arial" w:cs="Arial"/>
          <w:b/>
          <w:i w:val="0"/>
          <w:color w:val="143B5E"/>
          <w:sz w:val="21"/>
        </w:rPr>
        <w:t>Table 6. Locked SIPaKMeD KOIL one-vs-rest test results.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8CF"/>
          <w:left w:val="single" w:sz="5" w:space="0" w:color="B8C8CF"/>
          <w:bottom w:val="single" w:sz="5" w:space="0" w:color="B8C8CF"/>
          <w:right w:val="single" w:sz="5" w:space="0" w:color="B8C8CF"/>
          <w:insideH w:val="single" w:sz="5" w:space="0" w:color="B8C8CF"/>
          <w:insideV w:val="single" w:sz="5" w:space="0" w:color="B8C8CF"/>
        </w:tblBorders>
      </w:tblPr>
      <w:tblGrid>
        <w:gridCol w:w="2646"/>
        <w:gridCol w:w="2646"/>
        <w:gridCol w:w="2646"/>
      </w:tblGrid>
      <w:tr>
        <w:trPr>
          <w:tblHeader w:val="true"/>
        </w:trPr>
        <w:tc>
          <w:tcPr>
            <w:tcW w:type="dxa" w:w="2381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2381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3175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Cluster-bootstrap 95% CI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6"/>
              </w:rPr>
              <w:t>Support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6"/>
              </w:rPr>
              <w:t>133 positive / 508 negative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6"/>
              </w:rPr>
              <w:t>145 source clusters</w:t>
            </w:r>
          </w:p>
        </w:tc>
      </w:tr>
      <w:tr>
        <w:tc>
          <w:tcPr>
            <w:tcW w:type="dxa" w:w="2381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6"/>
              </w:rPr>
              <w:t>Sensitivity / specificity</w:t>
            </w:r>
          </w:p>
        </w:tc>
        <w:tc>
          <w:tcPr>
            <w:tcW w:type="dxa" w:w="2381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6"/>
              </w:rPr>
              <w:t>0.9624 / 0.9764</w:t>
            </w:r>
          </w:p>
        </w:tc>
        <w:tc>
          <w:tcPr>
            <w:tcW w:type="dxa" w:w="3175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6"/>
              </w:rPr>
              <w:t>0.9167-0.9921 / 0.9583-0.9916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6"/>
              </w:rPr>
              <w:t>Precision / F1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6"/>
              </w:rPr>
              <w:t>0.9143 / 0.9377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6"/>
              </w:rPr>
              <w:t>0.8291-0.9702 / 0.8811-0.9706</w:t>
            </w:r>
          </w:p>
        </w:tc>
      </w:tr>
      <w:tr>
        <w:tc>
          <w:tcPr>
            <w:tcW w:type="dxa" w:w="2381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6"/>
              </w:rPr>
              <w:t>AUROC / AUPRC</w:t>
            </w:r>
          </w:p>
        </w:tc>
        <w:tc>
          <w:tcPr>
            <w:tcW w:type="dxa" w:w="2381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6"/>
              </w:rPr>
              <w:t>0.9912 / 0.9810</w:t>
            </w:r>
          </w:p>
        </w:tc>
        <w:tc>
          <w:tcPr>
            <w:tcW w:type="dxa" w:w="3175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6"/>
              </w:rPr>
              <w:t>0.9786-0.9984 / 0.9506-0.9951</w:t>
            </w:r>
          </w:p>
        </w:tc>
      </w:tr>
    </w:tbl>
    <w:p>
      <w:pPr>
        <w:spacing w:line="240" w:lineRule="auto" w:before="0" w:after="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</w:r>
    </w:p>
    <w:p>
      <w:pPr>
        <w:spacing w:line="240" w:lineRule="auto" w:before="0" w:after="60"/>
        <w:jc w:val="both"/>
      </w:pPr>
      <w:r>
        <w:rPr>
          <w:rFonts w:ascii="Arial" w:hAnsi="Arial" w:eastAsia="Arial" w:cs="Arial"/>
          <w:b w:val="0"/>
          <w:i w:val="0"/>
          <w:color w:val="15242E"/>
          <w:sz w:val="20"/>
        </w:rPr>
        <w:t>At the validation-locked threshold of 0.3367, the model produced 128 TP, 496 TN, 12 FP, and 5 FN cells. False positives were limited to dyskeratotic (n=9) and metaplastic (n=3) morphology; each false negative came from a different source cluster. These errors require expert review and do not represent HPV test errors.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E7490"/>
          <w:left w:val="single" w:sz="8" w:space="0" w:color="0E7490"/>
          <w:bottom w:val="single" w:sz="8" w:space="0" w:color="0E7490"/>
          <w:right w:val="single" w:sz="8" w:space="0" w:color="0E7490"/>
          <w:insideH w:val="single" w:sz="8" w:space="0" w:color="0E7490"/>
          <w:insideV w:val="single" w:sz="8" w:space="0" w:color="0E7490"/>
        </w:tblBorders>
      </w:tblPr>
      <w:tblGrid>
        <w:gridCol w:w="7937"/>
      </w:tblGrid>
      <w:tr>
        <w:tc>
          <w:tcPr>
            <w:tcW w:type="dxa" w:w="7937"/>
            <w:shd w:fill="EAF3F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0E7490"/>
                <w:sz w:val="24"/>
              </w:rPr>
              <w:t>CHAPTER 4</w:t>
            </w:r>
          </w:p>
        </w:tc>
      </w:tr>
    </w:tbl>
    <w:p>
      <w:pPr>
        <w:spacing w:line="240" w:lineRule="auto" w:before="100" w:after="10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RESULTS AND DISCUSSION (CONTINUED)</w:t>
      </w:r>
    </w:p>
    <w:p>
      <w:pPr>
        <w:keepNext/>
        <w:spacing w:line="240" w:lineRule="auto" w:before="80" w:after="4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4.4 Calibration, Explainability, and System Interpretation</w:t>
      </w:r>
    </w:p>
    <w:p>
      <w:pPr>
        <w:keepNext/>
        <w:spacing w:line="240" w:lineRule="auto" w:before="60" w:after="40"/>
        <w:jc w:val="center"/>
      </w:pPr>
      <w:r>
        <w:rPr>
          <w:rFonts w:ascii="Arial" w:hAnsi="Arial" w:eastAsia="Arial" w:cs="Arial"/>
          <w:b/>
          <w:i w:val="0"/>
          <w:color w:val="143B5E"/>
          <w:sz w:val="21"/>
        </w:rPr>
        <w:t>Table 7. Held-out calibration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8CF"/>
          <w:left w:val="single" w:sz="5" w:space="0" w:color="B8C8CF"/>
          <w:bottom w:val="single" w:sz="5" w:space="0" w:color="B8C8CF"/>
          <w:right w:val="single" w:sz="5" w:space="0" w:color="B8C8CF"/>
          <w:insideH w:val="single" w:sz="5" w:space="0" w:color="B8C8CF"/>
          <w:insideV w:val="single" w:sz="5" w:space="0" w:color="B8C8CF"/>
        </w:tblBorders>
      </w:tblPr>
      <w:tblGrid>
        <w:gridCol w:w="2646"/>
        <w:gridCol w:w="2646"/>
        <w:gridCol w:w="2646"/>
      </w:tblGrid>
      <w:tr>
        <w:trPr>
          <w:tblHeader w:val="true"/>
        </w:trPr>
        <w:tc>
          <w:tcPr>
            <w:tcW w:type="dxa" w:w="3402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Endpoint / measure</w:t>
            </w:r>
          </w:p>
        </w:tc>
        <w:tc>
          <w:tcPr>
            <w:tcW w:type="dxa" w:w="2268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Before</w:t>
            </w:r>
          </w:p>
        </w:tc>
        <w:tc>
          <w:tcPr>
            <w:tcW w:type="dxa" w:w="2268"/>
            <w:shd w:fill="0E74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After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Multiclass ECE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0.066853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0.038670</w:t>
            </w:r>
          </w:p>
        </w:tc>
      </w:tr>
      <w:tr>
        <w:tc>
          <w:tcPr>
            <w:tcW w:type="dxa" w:w="3402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Binary ECE</w:t>
            </w:r>
          </w:p>
        </w:tc>
        <w:tc>
          <w:tcPr>
            <w:tcW w:type="dxa" w:w="2268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0.090679</w:t>
            </w:r>
          </w:p>
        </w:tc>
        <w:tc>
          <w:tcPr>
            <w:tcW w:type="dxa" w:w="2268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0.073787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Binary Brier score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0.071015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0.066994</w:t>
            </w:r>
          </w:p>
        </w:tc>
      </w:tr>
      <w:tr>
        <w:tc>
          <w:tcPr>
            <w:tcW w:type="dxa" w:w="3402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KOIL ECE</w:t>
            </w:r>
          </w:p>
        </w:tc>
        <w:tc>
          <w:tcPr>
            <w:tcW w:type="dxa" w:w="2268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Not reported</w:t>
            </w:r>
          </w:p>
        </w:tc>
        <w:tc>
          <w:tcPr>
            <w:tcW w:type="dxa" w:w="2268"/>
            <w:shd w:fill="F5F8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0.013385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KOIL Brier score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Not reported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40" w:lineRule="auto" w:after="0"/>
            </w:pPr>
            <w:r>
              <w:rPr>
                <w:rFonts w:ascii="Arial" w:hAnsi="Arial" w:eastAsia="Arial" w:cs="Arial"/>
                <w:color w:val="15242E"/>
                <w:sz w:val="18"/>
              </w:rPr>
              <w:t>0.019025</w:t>
            </w:r>
          </w:p>
        </w:tc>
      </w:tr>
    </w:tbl>
    <w:p>
      <w:pPr>
        <w:spacing w:line="240" w:lineRule="auto" w:before="0" w:after="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824000" cy="129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il_test_perform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60"/>
        <w:jc w:val="center"/>
      </w:pPr>
      <w:r>
        <w:rPr>
          <w:rFonts w:ascii="Arial" w:hAnsi="Arial" w:eastAsia="Arial" w:cs="Arial"/>
          <w:b w:val="0"/>
          <w:i/>
          <w:color w:val="526773"/>
          <w:sz w:val="20"/>
        </w:rPr>
        <w:t>Figure 5. SIPaKMeD morphology confusion matrix and locked-test KOIL ROC/precision-recall curves.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3968"/>
        <w:gridCol w:w="3968"/>
      </w:tblGrid>
      <w:tr>
        <w:tc>
          <w:tcPr>
            <w:tcW w:type="dxa" w:w="385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0000" cy="153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ibration_before_aft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0000" cy="153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il_gradcam_pap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968"/>
            <w:tcMar>
              <w:top w:w="20" w:type="dxa"/>
              <w:start w:w="60" w:type="dxa"/>
              <w:bottom w:w="4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i/>
                <w:color w:val="526773"/>
                <w:sz w:val="19"/>
              </w:rPr>
              <w:t>Figure 6. Herlev calibration.</w:t>
            </w:r>
          </w:p>
        </w:tc>
        <w:tc>
          <w:tcPr>
            <w:tcW w:type="dxa" w:w="3968"/>
            <w:tcMar>
              <w:top w:w="20" w:type="dxa"/>
              <w:start w:w="60" w:type="dxa"/>
              <w:bottom w:w="4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i/>
                <w:color w:val="526773"/>
                <w:sz w:val="19"/>
              </w:rPr>
              <w:t>Figure 7. KOIL-specific Grad-CAM audit cases.</w:t>
            </w:r>
          </w:p>
        </w:tc>
      </w:tr>
    </w:tbl>
    <w:p>
      <w:pPr>
        <w:spacing w:line="240" w:lineRule="auto" w:before="0" w:after="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</w:r>
    </w:p>
    <w:p>
      <w:pPr>
        <w:spacing w:line="240" w:lineRule="auto" w:before="0" w:after="60"/>
        <w:jc w:val="both"/>
      </w:pPr>
      <w:r>
        <w:rPr>
          <w:rFonts w:ascii="Arial" w:hAnsi="Arial" w:eastAsia="Arial" w:cs="Arial"/>
          <w:b w:val="0"/>
          <w:i w:val="0"/>
          <w:color w:val="15242E"/>
          <w:sz w:val="21"/>
        </w:rPr>
        <w:t>Temperature scaling improved calibration without changing class ordering [9]. KOIL Grad-CAM was generated for the independent endpoint and is presented as attention evidence, not segmentation or causal proof. Calibration and attribution remain domain-dependent and cannot be extended to Thai ThinPrep images without external evidence.</w:t>
      </w:r>
    </w:p>
    <w:p>
      <w:pPr>
        <w:spacing w:line="240" w:lineRule="auto" w:before="0" w:after="60"/>
        <w:jc w:val="both"/>
      </w:pPr>
      <w:r>
        <w:rPr>
          <w:rFonts w:ascii="Arial" w:hAnsi="Arial" w:eastAsia="Arial" w:cs="Arial"/>
          <w:b w:val="0"/>
          <w:i w:val="0"/>
          <w:color w:val="15242E"/>
          <w:sz w:val="21"/>
        </w:rPr>
        <w:t>The prototype integrates evaluation and review: explanations can be challenged, uncertainty can trigger abstention, and patient communication is gated by clinician action [10-12]. Dataset shift remains the principal translation risk [13].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space="0" w:color="0E7490"/>
          <w:left w:val="single" w:sz="7" w:space="0" w:color="0E7490"/>
          <w:bottom w:val="single" w:sz="7" w:space="0" w:color="0E7490"/>
          <w:right w:val="single" w:sz="7" w:space="0" w:color="0E7490"/>
          <w:insideH w:val="single" w:sz="7" w:space="0" w:color="0E7490"/>
          <w:insideV w:val="single" w:sz="7" w:space="0" w:color="0E7490"/>
        </w:tblBorders>
      </w:tblPr>
      <w:tblGrid>
        <w:gridCol w:w="7937"/>
      </w:tblGrid>
      <w:tr>
        <w:tc>
          <w:tcPr>
            <w:tcW w:type="dxa" w:w="7937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 w:cs="Arial"/>
                <w:b/>
                <w:color w:val="0E7490"/>
                <w:sz w:val="21"/>
              </w:rPr>
              <w:t xml:space="preserve">Required next evidence  </w:t>
            </w:r>
            <w:r>
              <w:rPr>
                <w:rFonts w:ascii="Arial" w:hAnsi="Arial" w:eastAsia="Arial" w:cs="Arial"/>
                <w:i/>
                <w:color w:val="15242E"/>
                <w:sz w:val="21"/>
              </w:rPr>
              <w:t>Thai ThinPrep external validation, paired HPV endpoints, pathologist error review, an unaided-versus-AI-assisted reader study, and a prospective workflow pilot.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E7490"/>
          <w:left w:val="single" w:sz="8" w:space="0" w:color="0E7490"/>
          <w:bottom w:val="single" w:sz="8" w:space="0" w:color="0E7490"/>
          <w:right w:val="single" w:sz="8" w:space="0" w:color="0E7490"/>
          <w:insideH w:val="single" w:sz="8" w:space="0" w:color="0E7490"/>
          <w:insideV w:val="single" w:sz="8" w:space="0" w:color="0E7490"/>
        </w:tblBorders>
      </w:tblPr>
      <w:tblGrid>
        <w:gridCol w:w="7937"/>
      </w:tblGrid>
      <w:tr>
        <w:tc>
          <w:tcPr>
            <w:tcW w:type="dxa" w:w="7937"/>
            <w:shd w:fill="EAF3F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0E7490"/>
                <w:sz w:val="24"/>
              </w:rPr>
              <w:t>CHAPTER 5</w:t>
            </w:r>
          </w:p>
        </w:tc>
      </w:tr>
    </w:tbl>
    <w:p>
      <w:pPr>
        <w:spacing w:line="240" w:lineRule="auto" w:before="100" w:after="10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CONCLUSION</w:t>
      </w:r>
    </w:p>
    <w:p>
      <w:pPr>
        <w:keepNext/>
        <w:spacing w:line="240" w:lineRule="auto" w:before="80" w:after="4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5.1 Conclusion</w:t>
      </w:r>
    </w:p>
    <w:p>
      <w:pPr>
        <w:spacing w:line="240" w:lineRule="auto" w:before="0" w:after="6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  <w:t>CerviCo-Pilot demonstrates an end-to-end, explainable, and uncertainty-aware cervical cytology screening-support prototype. On Herlev, binary triage achieved held-out sensitivity 1.000 and AUROC 0.964, while the legacy five-output grade evaluation achieved accuracy 0.6934. On the separate locked SIPaKMeD test set, KOIL morphology sensitivity was 0.9624 and AUROC 0.9912. These within-dataset results support continued research but do not justify autonomous diagnosis or deployment.</w:t>
      </w:r>
    </w:p>
    <w:p>
      <w:pPr>
        <w:spacing w:line="240" w:lineRule="auto" w:before="0" w:after="6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  <w:t>The main contribution is the system design: detailed cytology output is preserved, a binary view emphasizes screening safety, Grad-CAM supports visual review, uncertainty enables abstention, and clinician sign-off controls patient-facing communication. The system can operate locally and presents its limitations alongside its predictions.</w:t>
      </w:r>
    </w:p>
    <w:p>
      <w:pPr>
        <w:keepNext/>
        <w:spacing w:line="240" w:lineRule="auto" w:before="80" w:after="4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5.2 Limitations</w:t>
      </w:r>
    </w:p>
    <w:p>
      <w:pPr>
        <w:pStyle w:val="ListBullet"/>
        <w:spacing w:line="240" w:lineRule="auto" w:after="20"/>
      </w:pPr>
      <w:r>
        <w:rPr>
          <w:rFonts w:ascii="Arial" w:hAnsi="Arial" w:eastAsia="Arial" w:cs="Arial"/>
          <w:color w:val="15242E"/>
          <w:sz w:val="24"/>
        </w:rPr>
        <w:t>Evidence is restricted to two public single-cell conventional cytology datasets.</w:t>
      </w:r>
    </w:p>
    <w:p>
      <w:pPr>
        <w:pStyle w:val="ListBullet"/>
        <w:spacing w:line="240" w:lineRule="auto" w:after="20"/>
      </w:pPr>
      <w:r>
        <w:rPr>
          <w:rFonts w:ascii="Arial" w:hAnsi="Arial" w:eastAsia="Arial" w:cs="Arial"/>
          <w:color w:val="15242E"/>
          <w:sz w:val="24"/>
        </w:rPr>
        <w:t>No Thai ThinPrep/LBC external validation or paired molecular HPV endpoint is available.</w:t>
      </w:r>
    </w:p>
    <w:p>
      <w:pPr>
        <w:pStyle w:val="ListBullet"/>
        <w:spacing w:line="240" w:lineRule="auto" w:after="20"/>
      </w:pPr>
      <w:r>
        <w:rPr>
          <w:rFonts w:ascii="Arial" w:hAnsi="Arial" w:eastAsia="Arial" w:cs="Arial"/>
          <w:color w:val="15242E"/>
          <w:sz w:val="24"/>
        </w:rPr>
        <w:t>KOIL morphology is internally validated on SIPaKMeD only; SCC grade recall remains limited.</w:t>
      </w:r>
    </w:p>
    <w:p>
      <w:pPr>
        <w:pStyle w:val="ListBullet"/>
        <w:spacing w:line="240" w:lineRule="auto" w:after="20"/>
      </w:pPr>
      <w:r>
        <w:rPr>
          <w:rFonts w:ascii="Arial" w:hAnsi="Arial" w:eastAsia="Arial" w:cs="Arial"/>
          <w:color w:val="15242E"/>
          <w:sz w:val="24"/>
        </w:rPr>
        <w:t>Grad-CAM, uncertainty, and report wording have not been evaluated in a clinical reader study.</w:t>
      </w:r>
    </w:p>
    <w:p>
      <w:pPr>
        <w:pStyle w:val="ListBullet"/>
        <w:spacing w:line="240" w:lineRule="auto" w:after="20"/>
      </w:pPr>
      <w:r>
        <w:rPr>
          <w:rFonts w:ascii="Arial" w:hAnsi="Arial" w:eastAsia="Arial" w:cs="Arial"/>
          <w:color w:val="15242E"/>
          <w:sz w:val="24"/>
        </w:rPr>
        <w:t>The web audit and report export remain research-demo components.</w:t>
      </w:r>
    </w:p>
    <w:p>
      <w:pPr>
        <w:keepNext/>
        <w:spacing w:line="240" w:lineRule="auto" w:before="80" w:after="4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5.3 Future Work</w:t>
      </w:r>
    </w:p>
    <w:p>
      <w:pPr>
        <w:spacing w:line="240" w:lineRule="auto" w:before="0" w:after="6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  <w:t>The next phase will collect de-identified Thai ThinPrep/LBC images under ethics and data-governance approval, lock an external test set, add paired HPV labels, perform pathologist-reviewed error analysis, and conduct a reader study. A prospective pilot should measure review time, notification time, follow-up completion, and automation bias.</w:t>
      </w:r>
    </w:p>
    <w:p>
      <w:pPr>
        <w:keepNext/>
        <w:spacing w:line="240" w:lineRule="auto" w:before="80" w:after="40"/>
        <w:jc w:val="left"/>
      </w:pPr>
      <w:r>
        <w:rPr>
          <w:rFonts w:ascii="Arial" w:hAnsi="Arial" w:eastAsia="Arial" w:cs="Arial"/>
          <w:b/>
          <w:i w:val="0"/>
          <w:color w:val="143B5E"/>
          <w:sz w:val="24"/>
        </w:rPr>
        <w:t>5.4 Research Integrity Statement</w:t>
      </w:r>
    </w:p>
    <w:p>
      <w:pPr>
        <w:spacing w:line="240" w:lineRule="auto" w:before="0" w:after="60"/>
        <w:jc w:val="both"/>
      </w:pPr>
      <w:r>
        <w:rPr>
          <w:rFonts w:ascii="Arial" w:hAnsi="Arial" w:eastAsia="Arial" w:cs="Arial"/>
          <w:b w:val="0"/>
          <w:i w:val="0"/>
          <w:color w:val="15242E"/>
          <w:sz w:val="24"/>
        </w:rPr>
        <w:t>All performance values were copied from canonical evaluation files for the shipped Herlev grade/triage and SIPaKMeD KOIL checkpoints. External sources support background and methods only; they do not create CerviCo-Pilot performance evidence.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E7490"/>
          <w:left w:val="single" w:sz="8" w:space="0" w:color="0E7490"/>
          <w:bottom w:val="single" w:sz="8" w:space="0" w:color="0E7490"/>
          <w:right w:val="single" w:sz="8" w:space="0" w:color="0E7490"/>
          <w:insideH w:val="single" w:sz="8" w:space="0" w:color="0E7490"/>
          <w:insideV w:val="single" w:sz="8" w:space="0" w:color="0E7490"/>
        </w:tblBorders>
      </w:tblPr>
      <w:tblGrid>
        <w:gridCol w:w="7937"/>
      </w:tblGrid>
      <w:tr>
        <w:tc>
          <w:tcPr>
            <w:tcW w:type="dxa" w:w="7937"/>
            <w:shd w:fill="EAF3F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0E7490"/>
                <w:sz w:val="24"/>
              </w:rPr>
              <w:t>REFERENCES</w:t>
            </w:r>
          </w:p>
        </w:tc>
      </w:tr>
    </w:tbl>
    <w:p>
      <w:pPr>
        <w:spacing w:line="240" w:lineRule="auto" w:before="0" w:after="60"/>
        <w:ind w:left="369" w:hanging="369"/>
        <w:jc w:val="left"/>
      </w:pPr>
      <w:r>
        <w:rPr>
          <w:rFonts w:ascii="Arial" w:hAnsi="Arial" w:eastAsia="Arial" w:cs="Arial"/>
          <w:b w:val="0"/>
          <w:i w:val="0"/>
          <w:color w:val="15242E"/>
          <w:sz w:val="18"/>
        </w:rPr>
        <w:t>[1] World Health Organization, Cervical cancer, WHO Fact Sheet, 2026. Available: https://www.who.int/news-room/fact-sheets/detail/cervical-cancer.</w:t>
      </w:r>
    </w:p>
    <w:p>
      <w:pPr>
        <w:spacing w:line="240" w:lineRule="auto" w:before="0" w:after="60"/>
        <w:ind w:left="369" w:hanging="369"/>
        <w:jc w:val="left"/>
      </w:pPr>
      <w:r>
        <w:rPr>
          <w:rFonts w:ascii="Arial" w:hAnsi="Arial" w:eastAsia="Arial" w:cs="Arial"/>
          <w:b w:val="0"/>
          <w:i w:val="0"/>
          <w:color w:val="15242E"/>
          <w:sz w:val="18"/>
        </w:rPr>
        <w:t>[2] World Health Organization, Global Strategy to Accelerate the Elimination of Cervical Cancer as a Public Health Problem, WHO, 2020.</w:t>
      </w:r>
    </w:p>
    <w:p>
      <w:pPr>
        <w:spacing w:line="240" w:lineRule="auto" w:before="0" w:after="60"/>
        <w:ind w:left="369" w:hanging="369"/>
        <w:jc w:val="left"/>
      </w:pPr>
      <w:r>
        <w:rPr>
          <w:rFonts w:ascii="Arial" w:hAnsi="Arial" w:eastAsia="Arial" w:cs="Arial"/>
          <w:b w:val="0"/>
          <w:i w:val="0"/>
          <w:color w:val="15242E"/>
          <w:sz w:val="18"/>
        </w:rPr>
        <w:t>[3] Centers for Disease Control and Prevention, Screening for Cervical Cancer, CDC, 2025. Available: https://www.cdc.gov/cervical-cancer/screening/.</w:t>
      </w:r>
    </w:p>
    <w:p>
      <w:pPr>
        <w:spacing w:line="240" w:lineRule="auto" w:before="0" w:after="60"/>
        <w:ind w:left="369" w:hanging="369"/>
        <w:jc w:val="left"/>
      </w:pPr>
      <w:r>
        <w:rPr>
          <w:rFonts w:ascii="Arial" w:hAnsi="Arial" w:eastAsia="Arial" w:cs="Arial"/>
          <w:b w:val="0"/>
          <w:i w:val="0"/>
          <w:color w:val="15242E"/>
          <w:sz w:val="18"/>
        </w:rPr>
        <w:t>[4] R. Nayar and D. C. Wilbur, Eds., The Bethesda System for Reporting Cervical Cytology, 3rd ed., Springer, 2015.</w:t>
      </w:r>
    </w:p>
    <w:p>
      <w:pPr>
        <w:spacing w:line="240" w:lineRule="auto" w:before="0" w:after="60"/>
        <w:ind w:left="369" w:hanging="369"/>
        <w:jc w:val="left"/>
      </w:pPr>
      <w:r>
        <w:rPr>
          <w:rFonts w:ascii="Arial" w:hAnsi="Arial" w:eastAsia="Arial" w:cs="Arial"/>
          <w:b w:val="0"/>
          <w:i w:val="0"/>
          <w:color w:val="15242E"/>
          <w:sz w:val="18"/>
        </w:rPr>
        <w:t>[5] J. Jantzen, J. Norup, G. Dounias, and B. Bjerregaard, Pap-smear benchmark data for pattern classification, NiSIS 2005, 2005.</w:t>
      </w:r>
    </w:p>
    <w:p>
      <w:pPr>
        <w:spacing w:line="240" w:lineRule="auto" w:before="0" w:after="60"/>
        <w:ind w:left="369" w:hanging="369"/>
        <w:jc w:val="left"/>
      </w:pPr>
      <w:r>
        <w:rPr>
          <w:rFonts w:ascii="Arial" w:hAnsi="Arial" w:eastAsia="Arial" w:cs="Arial"/>
          <w:b w:val="0"/>
          <w:i w:val="0"/>
          <w:color w:val="15242E"/>
          <w:sz w:val="18"/>
        </w:rPr>
        <w:t>[6] M. Tan and Q. V. Le, EfficientNet: Rethinking model scaling for convolutional neural networks, Proc. ICML, 2019, pp. 6105-6114.</w:t>
      </w:r>
    </w:p>
    <w:p>
      <w:pPr>
        <w:spacing w:line="240" w:lineRule="auto" w:before="0" w:after="60"/>
        <w:ind w:left="369" w:hanging="369"/>
        <w:jc w:val="left"/>
      </w:pPr>
      <w:r>
        <w:rPr>
          <w:rFonts w:ascii="Arial" w:hAnsi="Arial" w:eastAsia="Arial" w:cs="Arial"/>
          <w:b w:val="0"/>
          <w:i w:val="0"/>
          <w:color w:val="15242E"/>
          <w:sz w:val="18"/>
        </w:rPr>
        <w:t>[7] R. R. Selvaraju et al., Grad-CAM: Visual explanations from deep networks via gradient-based localization, Proc. ICCV, 2017, pp. 618-626.</w:t>
      </w:r>
    </w:p>
    <w:p>
      <w:pPr>
        <w:spacing w:line="240" w:lineRule="auto" w:before="0" w:after="60"/>
        <w:ind w:left="369" w:hanging="369"/>
        <w:jc w:val="left"/>
      </w:pPr>
      <w:r>
        <w:rPr>
          <w:rFonts w:ascii="Arial" w:hAnsi="Arial" w:eastAsia="Arial" w:cs="Arial"/>
          <w:b w:val="0"/>
          <w:i w:val="0"/>
          <w:color w:val="15242E"/>
          <w:sz w:val="18"/>
        </w:rPr>
        <w:t>[8] Y. Gal and Z. Ghahramani, Dropout as a Bayesian approximation: Representing model uncertainty in deep learning, Proc. ICML, 2016, pp. 1050-1059.</w:t>
      </w:r>
    </w:p>
    <w:p>
      <w:pPr>
        <w:spacing w:line="240" w:lineRule="auto" w:before="0" w:after="60"/>
        <w:ind w:left="369" w:hanging="369"/>
        <w:jc w:val="left"/>
      </w:pPr>
      <w:r>
        <w:rPr>
          <w:rFonts w:ascii="Arial" w:hAnsi="Arial" w:eastAsia="Arial" w:cs="Arial"/>
          <w:b w:val="0"/>
          <w:i w:val="0"/>
          <w:color w:val="15242E"/>
          <w:sz w:val="18"/>
        </w:rPr>
        <w:t>[9] C. Guo, G. Pleiss, Y. Sun, and K. Q. Weinberger, On calibration of modern neural networks, Proc. ICML, 2017, pp. 1321-1330.</w:t>
      </w:r>
    </w:p>
    <w:p>
      <w:pPr>
        <w:spacing w:line="240" w:lineRule="auto" w:before="0" w:after="60"/>
        <w:ind w:left="369" w:hanging="369"/>
        <w:jc w:val="left"/>
      </w:pPr>
      <w:r>
        <w:rPr>
          <w:rFonts w:ascii="Arial" w:hAnsi="Arial" w:eastAsia="Arial" w:cs="Arial"/>
          <w:b w:val="0"/>
          <w:i w:val="0"/>
          <w:color w:val="15242E"/>
          <w:sz w:val="18"/>
        </w:rPr>
        <w:t>[10] U.S. FDA, Health Canada, and MHRA, Good Machine Learning Practice for Medical Device Development: Guiding Principles, 2021.</w:t>
      </w:r>
    </w:p>
    <w:p>
      <w:pPr>
        <w:spacing w:line="240" w:lineRule="auto" w:before="0" w:after="60"/>
        <w:ind w:left="369" w:hanging="369"/>
        <w:jc w:val="left"/>
      </w:pPr>
      <w:r>
        <w:rPr>
          <w:rFonts w:ascii="Arial" w:hAnsi="Arial" w:eastAsia="Arial" w:cs="Arial"/>
          <w:b w:val="0"/>
          <w:i w:val="0"/>
          <w:color w:val="15242E"/>
          <w:sz w:val="18"/>
        </w:rPr>
        <w:t>[11] X. Liu et al., Reporting guidelines for clinical trial reports for interventions involving artificial intelligence: the CONSORT-AI extension, Nature Medicine, vol. 26, pp. 1364-1374, 2020.</w:t>
      </w:r>
    </w:p>
    <w:p>
      <w:pPr>
        <w:spacing w:line="240" w:lineRule="auto" w:before="0" w:after="60"/>
        <w:ind w:left="369" w:hanging="369"/>
        <w:jc w:val="left"/>
      </w:pPr>
      <w:r>
        <w:rPr>
          <w:rFonts w:ascii="Arial" w:hAnsi="Arial" w:eastAsia="Arial" w:cs="Arial"/>
          <w:b w:val="0"/>
          <w:i w:val="0"/>
          <w:color w:val="15242E"/>
          <w:sz w:val="18"/>
        </w:rPr>
        <w:t>[12] B. Vasey et al., Reporting guideline for the early-stage clinical evaluation of decision support systems driven by artificial intelligence: DECIDE-AI, Nature Medicine, vol. 28, pp. 924-933, 2022.</w:t>
      </w:r>
    </w:p>
    <w:p>
      <w:pPr>
        <w:spacing w:line="240" w:lineRule="auto" w:before="0" w:after="60"/>
        <w:ind w:left="369" w:hanging="369"/>
        <w:jc w:val="left"/>
      </w:pPr>
      <w:r>
        <w:rPr>
          <w:rFonts w:ascii="Arial" w:hAnsi="Arial" w:eastAsia="Arial" w:cs="Arial"/>
          <w:b w:val="0"/>
          <w:i w:val="0"/>
          <w:color w:val="15242E"/>
          <w:sz w:val="18"/>
        </w:rPr>
        <w:t>[13] S. G. Finlayson et al., The clinician and dataset shift in artificial intelligence, New England Journal of Medicine, vol. 385, pp. 283-286, 2021.</w:t>
      </w:r>
    </w:p>
    <w:p>
      <w:pPr>
        <w:spacing w:line="240" w:lineRule="auto" w:before="0" w:after="60"/>
        <w:ind w:left="369" w:hanging="369"/>
        <w:jc w:val="left"/>
      </w:pPr>
      <w:r>
        <w:rPr>
          <w:rFonts w:ascii="Arial" w:hAnsi="Arial" w:eastAsia="Arial" w:cs="Arial"/>
          <w:b w:val="0"/>
          <w:i w:val="0"/>
          <w:color w:val="15242E"/>
          <w:sz w:val="18"/>
        </w:rPr>
        <w:t>[14] M. E. Plissiti et al., SIPaKMeD: A new dataset for feature and image based classification of normal and pathological cervical cells in Pap smear images, Proc. IEEE ICIP, 2018, pp. 3144-3148.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701" w:bottom="1701" w:left="2268" w:header="680" w:footer="65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5267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526773"/>
        <w:sz w:val="17"/>
      </w:rPr>
      <w:t>CerviCo-Pilot | WSEEC 2026 Full 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OF AN EXPLAINABLE AND UNCERTAINTY-AWARE AI SYSTEM FOR CERVICAL CELL ABNORMALITY SCREENING AND HPV-RELATED MORPHOLOGY RISK ASSESSMENT FROM THINPREP-STYLE IMAGES</dc:title>
  <dc:subject>WSEEC 2026 Full Paper - Polished 12-page submission</dc:subject>
  <dc:creator>CerviCo-Pilot Team</dc:creator>
  <cp:keywords>cervical cytology, explainable artificial intelligence, uncertainty-aware triage, Grad-CAM, clinician-in-the-loop, ThinPrep, koilocytosis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