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Merlin's Vault Deployment and Testing Instructions</w:t>
      </w:r>
    </w:p>
    <w:p>
      <w:pPr>
        <w:pStyle w:val="Subtitle"/>
      </w:pPr>
      <w:r>
        <w:rPr/>
        <w:t xml:space="preserve">Final Product Testing Guide</w:t>
      </w:r>
    </w:p>
    <w:p>
      <w:r>
        <w:rPr/>
        <w:t xml:space="preserve"/>
      </w:r>
    </w:p>
    <w:p>
      <w:pPr>
        <w:pStyle w:val="Heading1"/>
      </w:pPr>
      <w:r>
        <w:rPr/>
        <w:t xml:space="preserve">Deployment Location</w:t>
      </w:r>
    </w:p>
    <w:p>
      <w:r>
        <w:rPr/>
        <w:t xml:space="preserve">Live URL: [PASTE LIVE STUDENT URL OR STATIC HOST URL HERE BEFORE SUBMITTING]</w:t>
      </w:r>
    </w:p>
    <w:p>
      <w:r>
        <w:rPr/>
        <w:t xml:space="preserve">Login Information: None required.</w:t>
      </w:r>
    </w:p>
    <w:p>
      <w:r>
        <w:rPr/>
        <w:t xml:space="preserve">The project is a static HTML, CSS, and JavaScript prototype. It does not require a database, server-side language, payment processor, or administrator account.</w:t>
      </w:r>
    </w:p>
    <w:p>
      <w:pPr>
        <w:pStyle w:val="Heading1"/>
      </w:pPr>
      <w:r>
        <w:rPr/>
        <w:t xml:space="preserve">Local Testing Instructions</w:t>
      </w:r>
    </w:p>
    <w:p>
      <w:r>
        <w:rPr/>
        <w:t xml:space="preserve">1. Unzip the final product folder.</w:t>
      </w:r>
    </w:p>
    <w:p>
      <w:r>
        <w:rPr/>
        <w:t xml:space="preserve">2. Open index.html in a modern browser such as Chrome, Edge, Firefox, or Safari.</w:t>
      </w:r>
    </w:p>
    <w:p>
      <w:r>
        <w:rPr/>
        <w:t xml:space="preserve">3. Navigate through the site using the header menu and page buttons.</w:t>
      </w:r>
    </w:p>
    <w:p>
      <w:r>
        <w:rPr/>
        <w:t xml:space="preserve">4. For a more realistic local test, serve the folder with a simple static server and open the localhost URL.</w:t>
      </w:r>
    </w:p>
    <w:p>
      <w:pPr>
        <w:pStyle w:val="Heading1"/>
      </w:pPr>
      <w:r>
        <w:rPr/>
        <w:t xml:space="preserve">Suggested Professor Test Script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Test Area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Action</w:t>
            </w:r>
          </w:p>
        </w:tc>
      </w:tr>
      <w:tr>
        <w:tc>
          <w:tcPr/>
          <w:p>
            <w:r>
              <w:rPr/>
              <w:t xml:space="preserve">Home page navigation</w:t>
            </w:r>
          </w:p>
        </w:tc>
        <w:tc>
          <w:tcPr/>
          <w:p>
            <w:r>
              <w:rPr/>
              <w:t xml:space="preserve">Open index.html and confirm header links, category cards, product cards, and footer links display properly.</w:t>
            </w:r>
          </w:p>
        </w:tc>
      </w:tr>
      <w:tr>
        <w:tc>
          <w:tcPr/>
          <w:p>
            <w:r>
              <w:rPr/>
              <w:t xml:space="preserve">Shop and category flow</w:t>
            </w:r>
          </w:p>
        </w:tc>
        <w:tc>
          <w:tcPr/>
          <w:p>
            <w:r>
              <w:rPr/>
              <w:t xml:space="preserve">Open shop.html, select multiple categories, and confirm category.html displays the matching product list.</w:t>
            </w:r>
          </w:p>
        </w:tc>
      </w:tr>
      <w:tr>
        <w:tc>
          <w:tcPr/>
          <w:p>
            <w:r>
              <w:rPr/>
              <w:t xml:space="preserve">Product detail flow</w:t>
            </w:r>
          </w:p>
        </w:tc>
        <w:tc>
          <w:tcPr/>
          <w:p>
            <w:r>
              <w:rPr/>
              <w:t xml:space="preserve">Open a product page and add a product to the cart. Confirm cart count updates.</w:t>
            </w:r>
          </w:p>
        </w:tc>
      </w:tr>
      <w:tr>
        <w:tc>
          <w:tcPr/>
          <w:p>
            <w:r>
              <w:rPr/>
              <w:t xml:space="preserve">Cart persistence</w:t>
            </w:r>
          </w:p>
        </w:tc>
        <w:tc>
          <w:tcPr/>
          <w:p>
            <w:r>
              <w:rPr/>
              <w:t xml:space="preserve">Refresh cart.html and confirm items remain available through browser localStorage.</w:t>
            </w:r>
          </w:p>
        </w:tc>
      </w:tr>
      <w:tr>
        <w:tc>
          <w:tcPr/>
          <w:p>
            <w:r>
              <w:rPr/>
              <w:t xml:space="preserve">Checkout validation</w:t>
            </w:r>
          </w:p>
        </w:tc>
        <w:tc>
          <w:tcPr/>
          <w:p>
            <w:r>
              <w:rPr/>
              <w:t xml:space="preserve">Attempt checkout with missing fields and confirm validation prevents incomplete submission.</w:t>
            </w:r>
          </w:p>
        </w:tc>
      </w:tr>
      <w:tr>
        <w:tc>
          <w:tcPr/>
          <w:p>
            <w:r>
              <w:rPr/>
              <w:t xml:space="preserve">Order confirmation</w:t>
            </w:r>
          </w:p>
        </w:tc>
        <w:tc>
          <w:tcPr/>
          <w:p>
            <w:r>
              <w:rPr/>
              <w:t xml:space="preserve">Submit a valid checkout and confirm an order confirmation number is generated.</w:t>
            </w:r>
          </w:p>
        </w:tc>
      </w:tr>
      <w:tr>
        <w:tc>
          <w:tcPr/>
          <w:p>
            <w:r>
              <w:rPr/>
              <w:t xml:space="preserve">Order status lookup</w:t>
            </w:r>
          </w:p>
        </w:tc>
        <w:tc>
          <w:tcPr/>
          <w:p>
            <w:r>
              <w:rPr/>
              <w:t xml:space="preserve">Copy the confirmation number and use order-status.html to retrieve the simulated order.</w:t>
            </w:r>
          </w:p>
        </w:tc>
      </w:tr>
      <w:tr>
        <w:tc>
          <w:tcPr/>
          <w:p>
            <w:r>
              <w:rPr/>
              <w:t xml:space="preserve">Event registration</w:t>
            </w:r>
          </w:p>
        </w:tc>
        <w:tc>
          <w:tcPr/>
          <w:p>
            <w:r>
              <w:rPr/>
              <w:t xml:space="preserve">Open events.html, select an event, and submit the registration form.</w:t>
            </w:r>
          </w:p>
        </w:tc>
      </w:tr>
      <w:tr>
        <w:tc>
          <w:tcPr/>
          <w:p>
            <w:r>
              <w:rPr/>
              <w:t xml:space="preserve">Responsive layout</w:t>
            </w:r>
          </w:p>
        </w:tc>
        <w:tc>
          <w:tcPr/>
          <w:p>
            <w:r>
              <w:rPr/>
              <w:t xml:space="preserve">Resize browser or test mobile width and confirm cards and forms stack cleanly.</w:t>
            </w:r>
          </w:p>
        </w:tc>
      </w:tr>
    </w:tbl>
    <w:p>
      <w:pPr>
        <w:pStyle w:val="Heading1"/>
      </w:pPr>
      <w:r>
        <w:rPr/>
        <w:t xml:space="preserve">Important Prototype Notes</w:t>
      </w:r>
    </w:p>
    <w:p>
      <w:r>
        <w:rPr/>
        <w:t xml:space="preserve">• All product, event, and order data is simulated in JavaScript.</w:t>
      </w:r>
    </w:p>
    <w:p>
      <w:r>
        <w:rPr/>
        <w:t xml:space="preserve">• Cart, order, and event registration data is stored in browser localStorage.</w:t>
      </w:r>
    </w:p>
    <w:p>
      <w:r>
        <w:rPr/>
        <w:t xml:space="preserve">• No real payment information is processed.</w:t>
      </w:r>
    </w:p>
    <w:p>
      <w:r>
        <w:rPr/>
        <w:t xml:space="preserve">• All images are replaceable SVG placeholders so future assets can be swapped without changing the page structure.</w:t>
      </w:r>
    </w:p>
    <w:sectPr>
      <w:pgSz w:w="12240" w:h="15840"/>
      <w:pgMar w:top="1008" w:right="1152" w:bottom="1008" w:left="1152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</w:style>
  <w:style w:type="paragraph" w:styleId="Title">
    <w:name w:val="Title"/>
    <w:pPr>
      <w:jc w:val="center"/>
    </w:pPr>
    <w:rPr>
      <w:rFonts w:ascii="Arial" w:hAnsi="Arial"/>
      <w:b/>
      <w:sz w:val="34"/>
    </w:rPr>
  </w:style>
  <w:style w:type="paragraph" w:styleId="Subtitle">
    <w:name w:val="Subtitle"/>
    <w:pPr>
      <w:jc w:val="center"/>
    </w:pPr>
    <w:rPr>
      <w:rFonts w:ascii="Arial" w:hAnsi="Arial"/>
      <w:i/>
      <w:sz w:val="20"/>
    </w:rPr>
  </w:style>
  <w:style w:type="paragraph" w:styleId="Heading1">
    <w:name w:val="heading 1"/>
    <w:basedOn w:val="Normal"/>
    <w:next w:val="Normal"/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rPr>
      <w:rFonts w:ascii="Arial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