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Main</w:t>
      </w:r>
      <w:r>
        <w:t xml:space="preserve"> </w:t>
      </w:r>
      <w:r>
        <w:t xml:space="preserve">Analysis</w:t>
      </w:r>
    </w:p>
    <w:p>
      <w:pPr>
        <w:pStyle w:val="Author"/>
      </w:pPr>
      <w:r>
        <w:t xml:space="preserve">Lakens</w:t>
      </w:r>
    </w:p>
    <w:p>
      <w:pPr>
        <w:pStyle w:val="Date"/>
      </w:pPr>
      <w:r>
        <w:t xml:space="preserve">20</w:t>
      </w:r>
      <w:r>
        <w:t xml:space="preserve"> </w:t>
      </w:r>
      <w:r>
        <w:t xml:space="preserve">juli</w:t>
      </w:r>
      <w:r>
        <w:t xml:space="preserve"> </w:t>
      </w:r>
      <w:r>
        <w:t xml:space="preserve">2018</w:t>
      </w:r>
    </w:p>
    <w:p>
      <w:pPr>
        <w:pStyle w:val="Heading1"/>
      </w:pPr>
      <w:bookmarkStart w:id="20" w:name="introduction"/>
      <w:r>
        <w:t xml:space="preserve">Introduction</w:t>
      </w:r>
      <w:bookmarkEnd w:id="20"/>
    </w:p>
    <w:p>
      <w:pPr>
        <w:pStyle w:val="FirstParagraph"/>
      </w:pPr>
      <w:r>
        <w:t xml:space="preserve">Here, we analyze a simple dataset of a Stroop experiment. Students in an introduction to psychology course completed an online Stroop task (</w:t>
      </w:r>
      <w:hyperlink r:id="rId21">
        <w:r>
          <w:rPr>
            <w:rStyle w:val="Hyperlink"/>
          </w:rPr>
          <w:t xml:space="preserve">http://faculty.washington.edu/chudler/java/ready.html</w:t>
        </w:r>
      </w:hyperlink>
      <w:r>
        <w:t xml:space="preserve">) and named the colors in congruent trials (e.g., the word</w:t>
      </w:r>
      <w:r>
        <w:t xml:space="preserve"> </w:t>
      </w:r>
      <w:r>
        <w:t xml:space="preserve">‘</w:t>
      </w:r>
      <w:r>
        <w:t xml:space="preserve">red</w:t>
      </w:r>
      <w:r>
        <w:t xml:space="preserve">’</w:t>
      </w:r>
      <w:r>
        <w:t xml:space="preserve"> </w:t>
      </w:r>
      <w:r>
        <w:t xml:space="preserve">written in a red font) and in incongruent trials (e.g., the word</w:t>
      </w:r>
      <w:r>
        <w:t xml:space="preserve"> </w:t>
      </w:r>
      <w:r>
        <w:t xml:space="preserve">‘</w:t>
      </w:r>
      <w:r>
        <w:t xml:space="preserve">red</w:t>
      </w:r>
      <w:r>
        <w:t xml:space="preserve">’</w:t>
      </w:r>
      <w:r>
        <w:t xml:space="preserve"> </w:t>
      </w:r>
      <w:r>
        <w:t xml:space="preserve">written in a green font). The time they took to name all words was self-reported in seconds (e.g., 21.3 seconds) for both the congruent and incongruent blocks. In this analysis, we are interested in examining whether there is a Stroop effect.</w:t>
      </w:r>
    </w:p>
    <w:p>
      <w:pPr>
        <w:pStyle w:val="Heading1"/>
      </w:pPr>
      <w:bookmarkStart w:id="22" w:name="plotting-the-data"/>
      <w:r>
        <w:t xml:space="preserve">Plotting the data</w:t>
      </w:r>
      <w:bookmarkEnd w:id="22"/>
    </w:p>
    <w:p>
      <w:pPr>
        <w:pStyle w:val="FirstParagraph"/>
      </w:pPr>
      <w:r>
        <w:t xml:space="preserve">When we plot the reaction times, we can visually see that there are no extreme outliers. It is also clear that response times are generally faster for the congruent trials, compared to the incongruent trials.</w:t>
      </w:r>
    </w:p>
    <w:p>
      <w:pPr>
        <w:pStyle w:val="BodyText"/>
      </w:pPr>
      <w:r>
        <w:drawing>
          <wp:inline>
            <wp:extent cx="3682147" cy="3682147"/>
            <wp:effectExtent b="0" l="0" r="0" t="0"/>
            <wp:docPr descr="" title="" id="1" name="Picture"/>
            <a:graphic>
              <a:graphicData uri="http://schemas.openxmlformats.org/drawingml/2006/picture">
                <pic:pic>
                  <pic:nvPicPr>
                    <pic:cNvPr descr="main_analysis_files/figure-docx/unnamed-chunk-2-1.png" id="0" name="Picture"/>
                    <pic:cNvPicPr>
                      <a:picLocks noChangeArrowheads="1" noChangeAspect="1"/>
                    </pic:cNvPicPr>
                  </pic:nvPicPr>
                  <pic:blipFill>
                    <a:blip r:embed="rId23"/>
                    <a:stretch>
                      <a:fillRect/>
                    </a:stretch>
                  </pic:blipFill>
                  <pic:spPr bwMode="auto">
                    <a:xfrm>
                      <a:off x="0" y="0"/>
                      <a:ext cx="3682147" cy="3682147"/>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The mean reaction time (in seconds) of participants in the Congruent condition (</w:t>
      </w:r>
      <w:r>
        <w:rPr>
          <w:i/>
        </w:rPr>
        <w:t xml:space="preserve">M</w:t>
      </w:r>
      <w:r>
        <w:t xml:space="preserve"> </w:t>
      </w:r>
      <w:r>
        <w:t xml:space="preserve">= 15.1,</w:t>
      </w:r>
      <w:r>
        <w:t xml:space="preserve"> </w:t>
      </w:r>
      <w:r>
        <w:rPr>
          <w:i/>
        </w:rPr>
        <w:t xml:space="preserve">SD</w:t>
      </w:r>
      <w:r>
        <w:t xml:space="preserve"> </w:t>
      </w:r>
      <w:r>
        <w:t xml:space="preserve">= 4.1) was lower than the mean of participants in the Incongruent condition (</w:t>
      </w:r>
      <w:r>
        <w:rPr>
          <w:i/>
        </w:rPr>
        <w:t xml:space="preserve">M</w:t>
      </w:r>
      <w:r>
        <w:t xml:space="preserve"> </w:t>
      </w:r>
      <w:r>
        <w:t xml:space="preserve">= 23,</w:t>
      </w:r>
      <w:r>
        <w:t xml:space="preserve"> </w:t>
      </w:r>
      <w:r>
        <w:rPr>
          <w:i/>
        </w:rPr>
        <w:t xml:space="preserve">SD</w:t>
      </w:r>
      <w:r>
        <w:t xml:space="preserve"> </w:t>
      </w:r>
      <w:r>
        <w:t xml:space="preserve">= 4.78,</w:t>
      </w:r>
      <w:r>
        <w:t xml:space="preserve"> </w:t>
      </w:r>
      <w:r>
        <w:rPr>
          <w:i/>
        </w:rPr>
        <w:t xml:space="preserve">r</w:t>
      </w:r>
      <w:r>
        <w:t xml:space="preserve"> </w:t>
      </w:r>
      <w:r>
        <w:t xml:space="preserve">= 0.37). A dependent</w:t>
      </w:r>
      <w:r>
        <w:t xml:space="preserve"> </w:t>
      </w:r>
      <w:r>
        <w:rPr>
          <w:i/>
        </w:rPr>
        <w:t xml:space="preserve">t</w:t>
      </w:r>
      <w:r>
        <w:t xml:space="preserve">-test indicated that based on our preregistered alpha level of 0.01 we could reject the null-hypothesis,</w:t>
      </w:r>
      <w:r>
        <w:t xml:space="preserve"> </w:t>
      </w:r>
      <w:r>
        <w:rPr>
          <w:i/>
        </w:rPr>
        <w:t xml:space="preserve">t</w:t>
      </w:r>
      <w:r>
        <w:t xml:space="preserve">(130) = 18.04,</w:t>
      </w:r>
      <w:r>
        <w:t xml:space="preserve"> </w:t>
      </w:r>
      <w:r>
        <w:rPr>
          <w:i/>
        </w:rPr>
        <w:t xml:space="preserve">p</w:t>
      </w:r>
      <w:r>
        <w:t xml:space="preserve"> </w:t>
      </w:r>
      <w:r>
        <w:t xml:space="preserve">&lt; 0.001. As we can expect from the Stroop effect, the standardized effect size is very large, Hedges’</w:t>
      </w:r>
      <w:r>
        <w:t xml:space="preserve"> </w:t>
      </w:r>
      <w:r>
        <w:rPr>
          <w:i/>
        </w:rPr>
        <w:t xml:space="preserve">g</w:t>
      </w:r>
      <w:r>
        <w:rPr>
          <w:vertAlign w:val="subscript"/>
          <w:i/>
        </w:rPr>
        <w:t xml:space="preserve">av</w:t>
      </w:r>
      <w:r>
        <w:t xml:space="preserve"> </w:t>
      </w:r>
      <w:r>
        <w:t xml:space="preserve">= 1.76. The congruency effect is very clear when we plot the data from the two groups.</w:t>
      </w:r>
    </w:p>
    <w:p>
      <w:pPr>
        <w:pStyle w:val="BodyText"/>
      </w:pPr>
      <w:r>
        <w:drawing>
          <wp:inline>
            <wp:extent cx="3682147" cy="3682147"/>
            <wp:effectExtent b="0" l="0" r="0" t="0"/>
            <wp:docPr descr="" title="" id="1" name="Picture"/>
            <a:graphic>
              <a:graphicData uri="http://schemas.openxmlformats.org/drawingml/2006/picture">
                <pic:pic>
                  <pic:nvPicPr>
                    <pic:cNvPr descr="main_analysis_files/figure-docx/unnamed-chunk-4-1.png" id="0" name="Picture"/>
                    <pic:cNvPicPr>
                      <a:picLocks noChangeArrowheads="1" noChangeAspect="1"/>
                    </pic:cNvPicPr>
                  </pic:nvPicPr>
                  <pic:blipFill>
                    <a:blip r:embed="rId25"/>
                    <a:stretch>
                      <a:fillRect/>
                    </a:stretch>
                  </pic:blipFill>
                  <pic:spPr bwMode="auto">
                    <a:xfrm>
                      <a:off x="0" y="0"/>
                      <a:ext cx="3682147" cy="3682147"/>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21" Target="http://faculty.washington.edu/chudler/java/ready.html" TargetMode="External" /></Relationships>
</file>

<file path=word/_rels/footnotes.xml.rels><?xml version="1.0" encoding="UTF-8"?>
<Relationships xmlns="http://schemas.openxmlformats.org/package/2006/relationships"><Relationship Type="http://schemas.openxmlformats.org/officeDocument/2006/relationships/hyperlink" Id="rId21" Target="http://faculty.washington.edu/chudler/java/read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Analysis</dc:title>
  <dc:creator>Lakens</dc:creator>
  <cp:keywords/>
  <dcterms:created xsi:type="dcterms:W3CDTF">2020-02-03T06:05:52Z</dcterms:created>
  <dcterms:modified xsi:type="dcterms:W3CDTF">2020-02-03T06:05:52Z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juli 2018</vt:lpwstr>
  </property>
  <property fmtid="{D5CDD505-2E9C-101B-9397-08002B2CF9AE}" pid="3" name="output">
    <vt:lpwstr>word_document</vt:lpwstr>
  </property>
</Properties>
</file>