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3FD5B" w14:textId="251B605B" w:rsidR="00800241" w:rsidRDefault="00800241" w:rsidP="00800241">
      <w:pPr>
        <w:spacing w:after="0" w:line="240" w:lineRule="auto"/>
        <w:rPr>
          <w:sz w:val="26"/>
          <w:szCs w:val="26"/>
        </w:rPr>
      </w:pPr>
      <w:r w:rsidRPr="00800241">
        <w:rPr>
          <w:b/>
          <w:color w:val="4472C4"/>
          <w:sz w:val="26"/>
          <w:szCs w:val="26"/>
        </w:rPr>
        <w:t>Title</w:t>
      </w:r>
      <w:r w:rsidRPr="00800241">
        <w:rPr>
          <w:b/>
          <w:color w:val="4472C4"/>
          <w:sz w:val="26"/>
          <w:szCs w:val="26"/>
        </w:rPr>
        <w:t xml:space="preserve"> (</w:t>
      </w:r>
      <w:r>
        <w:rPr>
          <w:b/>
          <w:color w:val="4472C4"/>
          <w:sz w:val="26"/>
          <w:szCs w:val="26"/>
        </w:rPr>
        <w:t>10/12 words)</w:t>
      </w:r>
      <w:r w:rsidRPr="007C2E0C">
        <w:rPr>
          <w:b/>
          <w:color w:val="4472C4"/>
          <w:sz w:val="26"/>
          <w:szCs w:val="26"/>
        </w:rPr>
        <w:t xml:space="preserve">: </w:t>
      </w:r>
      <w:r w:rsidRPr="007C2E0C">
        <w:rPr>
          <w:sz w:val="26"/>
          <w:szCs w:val="26"/>
        </w:rPr>
        <w:t>Spatiotemporal dynamics of nearshore fish communities in Casco Bay, Maine</w:t>
      </w:r>
    </w:p>
    <w:p w14:paraId="6E2FAF2D" w14:textId="77777777" w:rsidR="00800241" w:rsidRDefault="00800241" w:rsidP="00800241">
      <w:pPr>
        <w:spacing w:after="0" w:line="240" w:lineRule="auto"/>
        <w:rPr>
          <w:sz w:val="26"/>
          <w:szCs w:val="26"/>
        </w:rPr>
      </w:pPr>
    </w:p>
    <w:p w14:paraId="346FF2B0" w14:textId="41C2B4F9" w:rsidR="00800241" w:rsidRDefault="00800241" w:rsidP="00800241">
      <w:pPr>
        <w:spacing w:after="0" w:line="240" w:lineRule="auto"/>
        <w:rPr>
          <w:sz w:val="26"/>
          <w:szCs w:val="26"/>
        </w:rPr>
      </w:pPr>
      <w:r w:rsidRPr="00800241">
        <w:rPr>
          <w:b/>
          <w:bCs/>
          <w:color w:val="4472C4"/>
          <w:sz w:val="26"/>
          <w:szCs w:val="26"/>
        </w:rPr>
        <w:t>Short title (</w:t>
      </w:r>
      <w:r>
        <w:rPr>
          <w:b/>
          <w:bCs/>
          <w:color w:val="4472C4"/>
          <w:sz w:val="26"/>
          <w:szCs w:val="26"/>
        </w:rPr>
        <w:t xml:space="preserve">29/30 </w:t>
      </w:r>
      <w:proofErr w:type="gramStart"/>
      <w:r>
        <w:rPr>
          <w:b/>
          <w:bCs/>
          <w:color w:val="4472C4"/>
          <w:sz w:val="26"/>
          <w:szCs w:val="26"/>
        </w:rPr>
        <w:t>chars</w:t>
      </w:r>
      <w:proofErr w:type="gramEnd"/>
      <w:r w:rsidRPr="00800241">
        <w:rPr>
          <w:b/>
          <w:bCs/>
          <w:color w:val="4472C4"/>
          <w:sz w:val="26"/>
          <w:szCs w:val="26"/>
        </w:rPr>
        <w:t>):</w:t>
      </w:r>
      <w:r w:rsidRPr="00800241">
        <w:rPr>
          <w:color w:val="4472C4"/>
          <w:sz w:val="26"/>
          <w:szCs w:val="26"/>
        </w:rPr>
        <w:t xml:space="preserve"> </w:t>
      </w:r>
      <w:r>
        <w:rPr>
          <w:sz w:val="26"/>
          <w:szCs w:val="26"/>
        </w:rPr>
        <w:t>Nearshore fish community ecology</w:t>
      </w:r>
    </w:p>
    <w:p w14:paraId="29D701D2" w14:textId="77777777" w:rsidR="00800241" w:rsidRPr="007C2E0C" w:rsidRDefault="00800241" w:rsidP="00800241">
      <w:pPr>
        <w:spacing w:after="0" w:line="240" w:lineRule="auto"/>
        <w:rPr>
          <w:sz w:val="26"/>
          <w:szCs w:val="26"/>
        </w:rPr>
      </w:pPr>
    </w:p>
    <w:p w14:paraId="585B933A" w14:textId="77777777" w:rsidR="00800241" w:rsidRPr="007C2E0C" w:rsidRDefault="00800241" w:rsidP="00800241">
      <w:pPr>
        <w:spacing w:after="0" w:line="240" w:lineRule="auto"/>
        <w:rPr>
          <w:sz w:val="26"/>
          <w:szCs w:val="26"/>
        </w:rPr>
      </w:pPr>
      <w:r w:rsidRPr="007C2E0C">
        <w:rPr>
          <w:b/>
          <w:color w:val="4472C4"/>
          <w:sz w:val="26"/>
          <w:szCs w:val="26"/>
        </w:rPr>
        <w:t xml:space="preserve">Authors: </w:t>
      </w:r>
      <w:r w:rsidRPr="007C2E0C">
        <w:rPr>
          <w:sz w:val="26"/>
          <w:szCs w:val="26"/>
        </w:rPr>
        <w:t xml:space="preserve">Katelynn M. Lankowicz </w:t>
      </w:r>
      <w:r w:rsidRPr="007C2E0C">
        <w:rPr>
          <w:sz w:val="26"/>
          <w:szCs w:val="26"/>
          <w:vertAlign w:val="superscript"/>
        </w:rPr>
        <w:t xml:space="preserve"> 1*</w:t>
      </w:r>
      <w:r w:rsidRPr="007C2E0C">
        <w:rPr>
          <w:sz w:val="26"/>
          <w:szCs w:val="26"/>
        </w:rPr>
        <w:t xml:space="preserve">, Courtney Swenson </w:t>
      </w:r>
      <w:r w:rsidRPr="007C2E0C">
        <w:rPr>
          <w:sz w:val="26"/>
          <w:szCs w:val="26"/>
          <w:vertAlign w:val="superscript"/>
        </w:rPr>
        <w:t>2</w:t>
      </w:r>
      <w:r w:rsidRPr="007C2E0C">
        <w:rPr>
          <w:sz w:val="26"/>
          <w:szCs w:val="26"/>
        </w:rPr>
        <w:t xml:space="preserve">, Zach Whitener </w:t>
      </w:r>
      <w:r w:rsidRPr="007C2E0C">
        <w:rPr>
          <w:sz w:val="26"/>
          <w:szCs w:val="26"/>
          <w:vertAlign w:val="superscript"/>
        </w:rPr>
        <w:t>1</w:t>
      </w:r>
      <w:r w:rsidRPr="007C2E0C">
        <w:rPr>
          <w:sz w:val="26"/>
          <w:szCs w:val="26"/>
        </w:rPr>
        <w:t xml:space="preserve">, Aaron Whitman </w:t>
      </w:r>
      <w:r w:rsidRPr="007C2E0C">
        <w:rPr>
          <w:sz w:val="26"/>
          <w:szCs w:val="26"/>
          <w:vertAlign w:val="superscript"/>
        </w:rPr>
        <w:t>1</w:t>
      </w:r>
      <w:r w:rsidRPr="007C2E0C">
        <w:rPr>
          <w:sz w:val="26"/>
          <w:szCs w:val="26"/>
        </w:rPr>
        <w:t xml:space="preserve">, Samantha Bengs </w:t>
      </w:r>
      <w:r w:rsidRPr="007C2E0C">
        <w:rPr>
          <w:sz w:val="26"/>
          <w:szCs w:val="26"/>
          <w:vertAlign w:val="superscript"/>
        </w:rPr>
        <w:t>1</w:t>
      </w:r>
      <w:r w:rsidRPr="007C2E0C">
        <w:rPr>
          <w:sz w:val="26"/>
          <w:szCs w:val="26"/>
        </w:rPr>
        <w:t xml:space="preserve">, Graham Sherwood </w:t>
      </w:r>
      <w:r w:rsidRPr="007C2E0C">
        <w:rPr>
          <w:sz w:val="26"/>
          <w:szCs w:val="26"/>
          <w:vertAlign w:val="superscript"/>
        </w:rPr>
        <w:t>1</w:t>
      </w:r>
    </w:p>
    <w:p w14:paraId="4C2C0BFC" w14:textId="77777777" w:rsidR="00800241" w:rsidRPr="007C2E0C" w:rsidRDefault="00800241" w:rsidP="00800241">
      <w:pPr>
        <w:spacing w:after="0" w:line="240" w:lineRule="auto"/>
        <w:rPr>
          <w:sz w:val="26"/>
          <w:szCs w:val="26"/>
        </w:rPr>
      </w:pPr>
      <w:r w:rsidRPr="007C2E0C">
        <w:rPr>
          <w:sz w:val="26"/>
          <w:szCs w:val="26"/>
        </w:rPr>
        <w:t>1. Gulf of Maine Research Institute, Portland, ME, USA 04101</w:t>
      </w:r>
    </w:p>
    <w:p w14:paraId="50D49C4F" w14:textId="77777777" w:rsidR="00800241" w:rsidRPr="007C2E0C" w:rsidRDefault="00800241" w:rsidP="00800241">
      <w:pPr>
        <w:spacing w:after="0" w:line="240" w:lineRule="auto"/>
        <w:rPr>
          <w:sz w:val="26"/>
          <w:szCs w:val="26"/>
        </w:rPr>
      </w:pPr>
      <w:r w:rsidRPr="007C2E0C">
        <w:rPr>
          <w:sz w:val="26"/>
          <w:szCs w:val="26"/>
        </w:rPr>
        <w:t>2. Hobart and William Smith Colleges, Geneva, NY, USA 14456</w:t>
      </w:r>
    </w:p>
    <w:p w14:paraId="077D73C5" w14:textId="77777777" w:rsidR="00800241" w:rsidRPr="007C2E0C" w:rsidRDefault="00800241" w:rsidP="00800241">
      <w:pPr>
        <w:spacing w:after="0" w:line="240" w:lineRule="auto"/>
        <w:rPr>
          <w:sz w:val="26"/>
          <w:szCs w:val="26"/>
        </w:rPr>
      </w:pPr>
      <w:r w:rsidRPr="007C2E0C">
        <w:rPr>
          <w:b/>
          <w:color w:val="4472C4"/>
          <w:sz w:val="26"/>
          <w:szCs w:val="26"/>
        </w:rPr>
        <w:t xml:space="preserve">* Corresponding author: </w:t>
      </w:r>
      <w:r w:rsidRPr="007C2E0C">
        <w:rPr>
          <w:sz w:val="26"/>
          <w:szCs w:val="26"/>
        </w:rPr>
        <w:t>K. Lankowicz, klankowicz@gmri.org</w:t>
      </w:r>
    </w:p>
    <w:p w14:paraId="2812F93B" w14:textId="77777777" w:rsidR="00800241" w:rsidRPr="007C2E0C" w:rsidRDefault="00800241" w:rsidP="00800241">
      <w:pPr>
        <w:spacing w:after="0" w:line="240" w:lineRule="auto"/>
        <w:rPr>
          <w:sz w:val="26"/>
          <w:szCs w:val="26"/>
        </w:rPr>
      </w:pPr>
    </w:p>
    <w:p w14:paraId="7AF00D9E" w14:textId="031B3A81" w:rsidR="00800241" w:rsidRPr="007C2E0C" w:rsidRDefault="00800241" w:rsidP="00800241">
      <w:pPr>
        <w:spacing w:after="0" w:line="240" w:lineRule="auto"/>
        <w:rPr>
          <w:b/>
          <w:color w:val="4472C4"/>
          <w:sz w:val="26"/>
          <w:szCs w:val="26"/>
        </w:rPr>
      </w:pPr>
      <w:r w:rsidRPr="007C2E0C">
        <w:rPr>
          <w:b/>
          <w:color w:val="4472C4"/>
          <w:sz w:val="26"/>
          <w:szCs w:val="26"/>
        </w:rPr>
        <w:t>Abstract</w:t>
      </w:r>
      <w:r>
        <w:rPr>
          <w:b/>
          <w:color w:val="4472C4"/>
          <w:sz w:val="26"/>
          <w:szCs w:val="26"/>
        </w:rPr>
        <w:t xml:space="preserve"> (250/300 words)</w:t>
      </w:r>
    </w:p>
    <w:p w14:paraId="664767A6" w14:textId="77777777" w:rsidR="00800241" w:rsidRPr="007C2E0C" w:rsidRDefault="00800241" w:rsidP="00800241">
      <w:pPr>
        <w:spacing w:after="0" w:line="240" w:lineRule="auto"/>
        <w:rPr>
          <w:sz w:val="26"/>
          <w:szCs w:val="26"/>
        </w:rPr>
      </w:pPr>
      <w:r w:rsidRPr="007C2E0C">
        <w:rPr>
          <w:sz w:val="26"/>
          <w:szCs w:val="26"/>
        </w:rPr>
        <w:t>Nearshore regions in the Gulf of Maine facilitate the growth, reproduction, and migration of many fish species. We used 11 years of beach seine survey data to explore temperature-linked effects on nearshore fish growth rates, relative abundances, and community structure. Atlantic silversides (</w:t>
      </w:r>
      <w:proofErr w:type="spellStart"/>
      <w:r w:rsidRPr="007C2E0C">
        <w:rPr>
          <w:i/>
          <w:iCs/>
          <w:sz w:val="26"/>
          <w:szCs w:val="26"/>
        </w:rPr>
        <w:t>Menidia</w:t>
      </w:r>
      <w:proofErr w:type="spellEnd"/>
      <w:r w:rsidRPr="007C2E0C">
        <w:rPr>
          <w:sz w:val="26"/>
          <w:szCs w:val="26"/>
        </w:rPr>
        <w:t xml:space="preserve"> </w:t>
      </w:r>
      <w:proofErr w:type="spellStart"/>
      <w:r w:rsidRPr="007C2E0C">
        <w:rPr>
          <w:i/>
          <w:iCs/>
          <w:sz w:val="26"/>
          <w:szCs w:val="26"/>
        </w:rPr>
        <w:t>menidia</w:t>
      </w:r>
      <w:proofErr w:type="spellEnd"/>
      <w:r w:rsidRPr="007C2E0C">
        <w:rPr>
          <w:sz w:val="26"/>
          <w:szCs w:val="26"/>
        </w:rPr>
        <w:t>) and Atlantic herring (</w:t>
      </w:r>
      <w:r w:rsidRPr="007C2E0C">
        <w:rPr>
          <w:i/>
          <w:iCs/>
          <w:sz w:val="26"/>
          <w:szCs w:val="26"/>
        </w:rPr>
        <w:t>Clupea</w:t>
      </w:r>
      <w:r w:rsidRPr="007C2E0C">
        <w:rPr>
          <w:sz w:val="26"/>
          <w:szCs w:val="26"/>
        </w:rPr>
        <w:t xml:space="preserve"> </w:t>
      </w:r>
      <w:proofErr w:type="spellStart"/>
      <w:r w:rsidRPr="007C2E0C">
        <w:rPr>
          <w:i/>
          <w:iCs/>
          <w:sz w:val="26"/>
          <w:szCs w:val="26"/>
        </w:rPr>
        <w:t>harengus</w:t>
      </w:r>
      <w:proofErr w:type="spellEnd"/>
      <w:r w:rsidRPr="007C2E0C">
        <w:rPr>
          <w:sz w:val="26"/>
          <w:szCs w:val="26"/>
        </w:rPr>
        <w:t>) were used to identify effects on warming-tolerant and warming-</w:t>
      </w:r>
      <w:r>
        <w:rPr>
          <w:sz w:val="26"/>
          <w:szCs w:val="26"/>
        </w:rPr>
        <w:t>sensitive</w:t>
      </w:r>
      <w:r w:rsidRPr="007C2E0C">
        <w:rPr>
          <w:sz w:val="26"/>
          <w:szCs w:val="26"/>
        </w:rPr>
        <w:t xml:space="preserve"> species, respectively. </w:t>
      </w:r>
      <w:r>
        <w:rPr>
          <w:sz w:val="26"/>
          <w:szCs w:val="26"/>
        </w:rPr>
        <w:t>G</w:t>
      </w:r>
      <w:r w:rsidRPr="007C2E0C">
        <w:rPr>
          <w:sz w:val="26"/>
          <w:szCs w:val="26"/>
        </w:rPr>
        <w:t xml:space="preserve">rowth models based on weekly length-frequency </w:t>
      </w:r>
      <w:r>
        <w:rPr>
          <w:sz w:val="26"/>
          <w:szCs w:val="26"/>
        </w:rPr>
        <w:t>distributions</w:t>
      </w:r>
      <w:r w:rsidRPr="007C2E0C">
        <w:rPr>
          <w:sz w:val="26"/>
          <w:szCs w:val="26"/>
        </w:rPr>
        <w:t xml:space="preserve"> indicated </w:t>
      </w:r>
      <w:r>
        <w:rPr>
          <w:sz w:val="26"/>
          <w:szCs w:val="26"/>
        </w:rPr>
        <w:t>a positive correlation between silverside growth and temperature, but no correlation for herring</w:t>
      </w:r>
      <w:r w:rsidRPr="007C2E0C">
        <w:rPr>
          <w:sz w:val="26"/>
          <w:szCs w:val="26"/>
        </w:rPr>
        <w:t xml:space="preserve">. Generalized additive models </w:t>
      </w:r>
      <w:r>
        <w:rPr>
          <w:sz w:val="26"/>
          <w:szCs w:val="26"/>
        </w:rPr>
        <w:t xml:space="preserve">and community structure analysis </w:t>
      </w:r>
      <w:r w:rsidRPr="007C2E0C">
        <w:rPr>
          <w:sz w:val="26"/>
          <w:szCs w:val="26"/>
        </w:rPr>
        <w:t>highlighted strong seasonal</w:t>
      </w:r>
      <w:r>
        <w:rPr>
          <w:sz w:val="26"/>
          <w:szCs w:val="26"/>
        </w:rPr>
        <w:t xml:space="preserve"> habitat use</w:t>
      </w:r>
      <w:r w:rsidRPr="007C2E0C">
        <w:rPr>
          <w:sz w:val="26"/>
          <w:szCs w:val="26"/>
        </w:rPr>
        <w:t xml:space="preserve"> patterns. </w:t>
      </w:r>
      <w:r>
        <w:rPr>
          <w:sz w:val="26"/>
          <w:szCs w:val="26"/>
        </w:rPr>
        <w:t xml:space="preserve">Week of summer and temperature were significant predictors of silverside catch, with the strongest positive effect occurring in </w:t>
      </w:r>
      <w:r w:rsidRPr="007C2E0C">
        <w:rPr>
          <w:bCs/>
          <w:sz w:val="26"/>
          <w:szCs w:val="26"/>
        </w:rPr>
        <w:t xml:space="preserve">15-20°C </w:t>
      </w:r>
      <w:r>
        <w:rPr>
          <w:bCs/>
          <w:sz w:val="26"/>
          <w:szCs w:val="26"/>
        </w:rPr>
        <w:t xml:space="preserve">temperatures during </w:t>
      </w:r>
      <w:r>
        <w:rPr>
          <w:sz w:val="26"/>
          <w:szCs w:val="26"/>
        </w:rPr>
        <w:t>late summer weeks</w:t>
      </w:r>
      <w:r w:rsidRPr="007C2E0C">
        <w:rPr>
          <w:bCs/>
          <w:sz w:val="26"/>
          <w:szCs w:val="26"/>
        </w:rPr>
        <w:t xml:space="preserve">. </w:t>
      </w:r>
      <w:r>
        <w:rPr>
          <w:bCs/>
          <w:sz w:val="26"/>
          <w:szCs w:val="26"/>
        </w:rPr>
        <w:t>H</w:t>
      </w:r>
      <w:r w:rsidRPr="007C2E0C">
        <w:rPr>
          <w:bCs/>
          <w:sz w:val="26"/>
          <w:szCs w:val="26"/>
        </w:rPr>
        <w:t xml:space="preserve">erring </w:t>
      </w:r>
      <w:proofErr w:type="gramStart"/>
      <w:r>
        <w:rPr>
          <w:bCs/>
          <w:sz w:val="26"/>
          <w:szCs w:val="26"/>
        </w:rPr>
        <w:t>catch</w:t>
      </w:r>
      <w:proofErr w:type="gramEnd"/>
      <w:r>
        <w:rPr>
          <w:bCs/>
          <w:sz w:val="26"/>
          <w:szCs w:val="26"/>
        </w:rPr>
        <w:t xml:space="preserve"> </w:t>
      </w:r>
      <w:r w:rsidRPr="007C2E0C">
        <w:rPr>
          <w:bCs/>
          <w:sz w:val="26"/>
          <w:szCs w:val="26"/>
        </w:rPr>
        <w:t xml:space="preserve">declined </w:t>
      </w:r>
      <w:r>
        <w:rPr>
          <w:bCs/>
          <w:sz w:val="26"/>
          <w:szCs w:val="26"/>
        </w:rPr>
        <w:t>through the summer</w:t>
      </w:r>
      <w:r w:rsidRPr="007C2E0C">
        <w:rPr>
          <w:bCs/>
          <w:sz w:val="26"/>
          <w:szCs w:val="26"/>
        </w:rPr>
        <w:t xml:space="preserve"> regardless of temperature. </w:t>
      </w:r>
      <w:r w:rsidRPr="007C2E0C">
        <w:rPr>
          <w:sz w:val="26"/>
          <w:szCs w:val="26"/>
        </w:rPr>
        <w:t xml:space="preserve">Community structure progressed from herring-dominated in the early summer to silverside-dominated in the late summer. </w:t>
      </w:r>
      <w:r>
        <w:rPr>
          <w:sz w:val="26"/>
          <w:szCs w:val="26"/>
        </w:rPr>
        <w:t xml:space="preserve">There were no clear trends in focal species catch or community structure at whole-Bay and annual scales, but years with herring-dominated community structure had the coldest summers. Combined, our results suggest that recent nearshore temperature trends have not adversely affected silversides, but herring may not be able to shift their </w:t>
      </w:r>
      <w:r>
        <w:rPr>
          <w:bCs/>
          <w:sz w:val="26"/>
          <w:szCs w:val="26"/>
        </w:rPr>
        <w:t xml:space="preserve">phenology to adapt to altered seasonal temperature patterns and warmer waters. </w:t>
      </w:r>
      <w:r w:rsidRPr="007C2E0C">
        <w:rPr>
          <w:sz w:val="26"/>
          <w:szCs w:val="26"/>
        </w:rPr>
        <w:t xml:space="preserve">Temperature-mediated changes to the </w:t>
      </w:r>
      <w:r>
        <w:rPr>
          <w:sz w:val="26"/>
          <w:szCs w:val="26"/>
        </w:rPr>
        <w:t>growth, abundance,</w:t>
      </w:r>
      <w:r w:rsidRPr="007C2E0C">
        <w:rPr>
          <w:sz w:val="26"/>
          <w:szCs w:val="26"/>
        </w:rPr>
        <w:t xml:space="preserve"> and phenology of the nearshore fish community, which contains many forage species and juveniles of migratory species, will likely impact multiple trophic levels. Nearshore fish dynamics should be monitored to identify potential changes to Gulf of Maine community and trophic ecology.</w:t>
      </w:r>
    </w:p>
    <w:p w14:paraId="5C6031E1" w14:textId="77777777" w:rsidR="00800241" w:rsidRPr="007C2E0C" w:rsidRDefault="00800241" w:rsidP="00800241">
      <w:pPr>
        <w:spacing w:after="0" w:line="240" w:lineRule="auto"/>
        <w:rPr>
          <w:b/>
          <w:color w:val="4472C4"/>
          <w:sz w:val="26"/>
          <w:szCs w:val="26"/>
        </w:rPr>
      </w:pPr>
    </w:p>
    <w:p w14:paraId="71667820" w14:textId="0C36656F" w:rsidR="00F65D49" w:rsidRDefault="00800241" w:rsidP="00800241">
      <w:bookmarkStart w:id="0" w:name="_heading=h.gjdgxs" w:colFirst="0" w:colLast="0"/>
      <w:bookmarkEnd w:id="0"/>
      <w:r w:rsidRPr="007C2E0C">
        <w:rPr>
          <w:b/>
          <w:color w:val="4472C4"/>
          <w:sz w:val="26"/>
          <w:szCs w:val="26"/>
        </w:rPr>
        <w:t>Keywords</w:t>
      </w:r>
      <w:r>
        <w:rPr>
          <w:b/>
          <w:color w:val="4472C4"/>
          <w:sz w:val="26"/>
          <w:szCs w:val="26"/>
        </w:rPr>
        <w:t xml:space="preserve"> (min 1, max 5)</w:t>
      </w:r>
      <w:r w:rsidRPr="007C2E0C">
        <w:rPr>
          <w:b/>
          <w:color w:val="4472C4"/>
          <w:sz w:val="26"/>
          <w:szCs w:val="26"/>
        </w:rPr>
        <w:t>:</w:t>
      </w:r>
      <w:r>
        <w:rPr>
          <w:b/>
          <w:color w:val="4472C4"/>
          <w:sz w:val="26"/>
          <w:szCs w:val="26"/>
        </w:rPr>
        <w:t xml:space="preserve"> </w:t>
      </w:r>
      <w:r>
        <w:rPr>
          <w:sz w:val="26"/>
          <w:szCs w:val="26"/>
        </w:rPr>
        <w:t>ecology, age and growth, population dynamics (these come from a limited pre-selected list)</w:t>
      </w:r>
    </w:p>
    <w:sectPr w:rsidR="00F65D49" w:rsidSect="00665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S0MDUyNjUwNLe0MDFQ0lEKTi0uzszPAykwrAUAiJ44jiwAAAA="/>
  </w:docVars>
  <w:rsids>
    <w:rsidRoot w:val="00800241"/>
    <w:rsid w:val="00130104"/>
    <w:rsid w:val="0025071E"/>
    <w:rsid w:val="006657E3"/>
    <w:rsid w:val="00800241"/>
    <w:rsid w:val="00DE551C"/>
    <w:rsid w:val="00F0504A"/>
    <w:rsid w:val="00F65D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99A7E"/>
  <w15:chartTrackingRefBased/>
  <w15:docId w15:val="{27817924-25BB-4AD6-9F64-0933DE060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241"/>
  </w:style>
  <w:style w:type="paragraph" w:styleId="Heading1">
    <w:name w:val="heading 1"/>
    <w:basedOn w:val="Normal"/>
    <w:next w:val="Normal"/>
    <w:link w:val="Heading1Char"/>
    <w:uiPriority w:val="9"/>
    <w:qFormat/>
    <w:rsid w:val="00800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241"/>
    <w:rPr>
      <w:rFonts w:eastAsiaTheme="majorEastAsia" w:cstheme="majorBidi"/>
      <w:color w:val="272727" w:themeColor="text1" w:themeTint="D8"/>
    </w:rPr>
  </w:style>
  <w:style w:type="paragraph" w:styleId="Title">
    <w:name w:val="Title"/>
    <w:basedOn w:val="Normal"/>
    <w:next w:val="Normal"/>
    <w:link w:val="TitleChar"/>
    <w:uiPriority w:val="10"/>
    <w:qFormat/>
    <w:rsid w:val="00800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241"/>
    <w:pPr>
      <w:spacing w:before="160"/>
      <w:jc w:val="center"/>
    </w:pPr>
    <w:rPr>
      <w:i/>
      <w:iCs/>
      <w:color w:val="404040" w:themeColor="text1" w:themeTint="BF"/>
    </w:rPr>
  </w:style>
  <w:style w:type="character" w:customStyle="1" w:styleId="QuoteChar">
    <w:name w:val="Quote Char"/>
    <w:basedOn w:val="DefaultParagraphFont"/>
    <w:link w:val="Quote"/>
    <w:uiPriority w:val="29"/>
    <w:rsid w:val="00800241"/>
    <w:rPr>
      <w:i/>
      <w:iCs/>
      <w:color w:val="404040" w:themeColor="text1" w:themeTint="BF"/>
    </w:rPr>
  </w:style>
  <w:style w:type="paragraph" w:styleId="ListParagraph">
    <w:name w:val="List Paragraph"/>
    <w:basedOn w:val="Normal"/>
    <w:uiPriority w:val="34"/>
    <w:qFormat/>
    <w:rsid w:val="00800241"/>
    <w:pPr>
      <w:ind w:left="720"/>
      <w:contextualSpacing/>
    </w:pPr>
  </w:style>
  <w:style w:type="character" w:styleId="IntenseEmphasis">
    <w:name w:val="Intense Emphasis"/>
    <w:basedOn w:val="DefaultParagraphFont"/>
    <w:uiPriority w:val="21"/>
    <w:qFormat/>
    <w:rsid w:val="00800241"/>
    <w:rPr>
      <w:i/>
      <w:iCs/>
      <w:color w:val="0F4761" w:themeColor="accent1" w:themeShade="BF"/>
    </w:rPr>
  </w:style>
  <w:style w:type="paragraph" w:styleId="IntenseQuote">
    <w:name w:val="Intense Quote"/>
    <w:basedOn w:val="Normal"/>
    <w:next w:val="Normal"/>
    <w:link w:val="IntenseQuoteChar"/>
    <w:uiPriority w:val="30"/>
    <w:qFormat/>
    <w:rsid w:val="00800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241"/>
    <w:rPr>
      <w:i/>
      <w:iCs/>
      <w:color w:val="0F4761" w:themeColor="accent1" w:themeShade="BF"/>
    </w:rPr>
  </w:style>
  <w:style w:type="character" w:styleId="IntenseReference">
    <w:name w:val="Intense Reference"/>
    <w:basedOn w:val="DefaultParagraphFont"/>
    <w:uiPriority w:val="32"/>
    <w:qFormat/>
    <w:rsid w:val="008002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373</Words>
  <Characters>2075</Characters>
  <Application>Microsoft Office Word</Application>
  <DocSecurity>0</DocSecurity>
  <Lines>47</Lines>
  <Paragraphs>19</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Lankowicz</dc:creator>
  <cp:keywords/>
  <dc:description/>
  <cp:lastModifiedBy>Katie Lankowicz</cp:lastModifiedBy>
  <cp:revision>1</cp:revision>
  <dcterms:created xsi:type="dcterms:W3CDTF">2026-04-20T19:00:00Z</dcterms:created>
  <dcterms:modified xsi:type="dcterms:W3CDTF">2026-04-20T19:12:00Z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1a938042-a391-42e7-a2c2-e67c84354e0d</vt:lpwstr>
  </property>
</Properties>
</file>