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08556" w14:textId="0BA8371E" w:rsidR="00960CB2" w:rsidRPr="00960CB2" w:rsidRDefault="00960CB2">
      <w:pPr>
        <w:rPr>
          <w:rStyle w:val="IntenseEmphasis"/>
        </w:rPr>
      </w:pPr>
      <w:r w:rsidRPr="00960CB2">
        <w:rPr>
          <w:rStyle w:val="IntenseEmphasis"/>
        </w:rPr>
        <w:t>Notes to collaborators:</w:t>
      </w:r>
    </w:p>
    <w:p w14:paraId="61A8404E" w14:textId="77777777" w:rsidR="00960CB2" w:rsidRDefault="00960CB2">
      <w:r>
        <w:t>Hi team,</w:t>
      </w:r>
    </w:p>
    <w:p w14:paraId="6CEACA73" w14:textId="5AD4650D" w:rsidR="00960CB2" w:rsidRDefault="00960CB2">
      <w:r>
        <w:t>Just a heads up: QBC staff asked me to compile a coarse-grain QBC-CBASS 2024 wrap</w:t>
      </w:r>
      <w:r w:rsidR="00A06850">
        <w:t>-</w:t>
      </w:r>
      <w:r>
        <w:t xml:space="preserve">up in early October. They already have less-detailed and QBC-specific versions of what I will discuss in my blurb. The thought </w:t>
      </w:r>
      <w:proofErr w:type="gramStart"/>
      <w:r>
        <w:t>was</w:t>
      </w:r>
      <w:proofErr w:type="gramEnd"/>
      <w:r>
        <w:t xml:space="preserve"> some of the information would be used in recruitment materials or social media posts (the </w:t>
      </w:r>
      <w:r w:rsidR="00A06850">
        <w:t xml:space="preserve">internship </w:t>
      </w:r>
      <w:r>
        <w:t>application link goes live this month).</w:t>
      </w:r>
      <w:r w:rsidR="00C750B6">
        <w:t xml:space="preserve"> I’ll also attach that to this email.</w:t>
      </w:r>
      <w:r w:rsidR="00A06850">
        <w:br/>
      </w:r>
      <w:r w:rsidR="00A06850">
        <w:br/>
        <w:t>I’ve included probably more information than is necessary. The background info is intended to bring non-experts like Pat into our line of thinking. I also know he loves data visualization. If only Isabelle reads this, I’m sure she’ll be bored. Feel free to adjust to the audience as needed.</w:t>
      </w:r>
    </w:p>
    <w:p w14:paraId="44C79A34" w14:textId="06752788" w:rsidR="00960CB2" w:rsidRDefault="00960CB2">
      <w:r>
        <w:t>Thanks,</w:t>
      </w:r>
      <w:r>
        <w:br/>
        <w:t>Katie</w:t>
      </w:r>
    </w:p>
    <w:p w14:paraId="2D918F27" w14:textId="77777777" w:rsidR="00960CB2" w:rsidRDefault="00960CB2" w:rsidP="00960CB2">
      <w:pPr>
        <w:rPr>
          <w:rFonts w:eastAsia="Times New Roman"/>
          <w:color w:val="000000"/>
        </w:rPr>
      </w:pPr>
    </w:p>
    <w:p w14:paraId="4260CF7C" w14:textId="77777777" w:rsidR="00A06850" w:rsidRDefault="00A06850">
      <w:pPr>
        <w:rPr>
          <w:rStyle w:val="IntenseEmphasis"/>
        </w:rPr>
      </w:pPr>
      <w:r>
        <w:rPr>
          <w:rStyle w:val="IntenseEmphasis"/>
        </w:rPr>
        <w:br w:type="page"/>
      </w:r>
    </w:p>
    <w:p w14:paraId="07451A89" w14:textId="0ED2A717" w:rsidR="00960CB2" w:rsidRDefault="00960CB2" w:rsidP="00960CB2">
      <w:pPr>
        <w:rPr>
          <w:rStyle w:val="IntenseEmphasis"/>
        </w:rPr>
      </w:pPr>
      <w:r>
        <w:rPr>
          <w:rStyle w:val="IntenseEmphasis"/>
        </w:rPr>
        <w:lastRenderedPageBreak/>
        <w:t>CBASS results 2024</w:t>
      </w:r>
    </w:p>
    <w:p w14:paraId="691CDCDF" w14:textId="02A71BB5" w:rsidR="003B31DC" w:rsidRDefault="003B31DC" w:rsidP="003B31DC">
      <w:pPr>
        <w:rPr>
          <w:rStyle w:val="IntenseEmphasis"/>
          <w:rFonts w:eastAsia="Times New Roman"/>
          <w:i w:val="0"/>
          <w:iCs w:val="0"/>
          <w:color w:val="000000"/>
        </w:rPr>
      </w:pPr>
      <w:r>
        <w:rPr>
          <w:rStyle w:val="IntenseEmphasis"/>
          <w:rFonts w:eastAsia="Times New Roman"/>
          <w:i w:val="0"/>
          <w:iCs w:val="0"/>
          <w:color w:val="000000"/>
        </w:rPr>
        <w:t>C</w:t>
      </w:r>
      <w:r w:rsidR="00343396">
        <w:rPr>
          <w:rStyle w:val="IntenseEmphasis"/>
          <w:rFonts w:eastAsia="Times New Roman"/>
          <w:i w:val="0"/>
          <w:iCs w:val="0"/>
          <w:color w:val="000000"/>
        </w:rPr>
        <w:t>ombined seining operations from both QBC and GMRI began June 6</w:t>
      </w:r>
      <w:r w:rsidR="00343396" w:rsidRPr="00343396">
        <w:rPr>
          <w:rStyle w:val="IntenseEmphasis"/>
          <w:rFonts w:eastAsia="Times New Roman"/>
          <w:i w:val="0"/>
          <w:iCs w:val="0"/>
          <w:color w:val="000000"/>
          <w:vertAlign w:val="superscript"/>
        </w:rPr>
        <w:t>th</w:t>
      </w:r>
      <w:r w:rsidR="00343396">
        <w:rPr>
          <w:rStyle w:val="IntenseEmphasis"/>
          <w:rFonts w:eastAsia="Times New Roman"/>
          <w:i w:val="0"/>
          <w:iCs w:val="0"/>
          <w:color w:val="000000"/>
        </w:rPr>
        <w:t xml:space="preserve"> and ran until October 9</w:t>
      </w:r>
      <w:r w:rsidR="00343396" w:rsidRPr="00343396">
        <w:rPr>
          <w:rStyle w:val="IntenseEmphasis"/>
          <w:rFonts w:eastAsia="Times New Roman"/>
          <w:i w:val="0"/>
          <w:iCs w:val="0"/>
          <w:color w:val="000000"/>
          <w:vertAlign w:val="superscript"/>
        </w:rPr>
        <w:t>th</w:t>
      </w:r>
      <w:r w:rsidR="00A06850">
        <w:rPr>
          <w:rStyle w:val="IntenseEmphasis"/>
          <w:rFonts w:eastAsia="Times New Roman"/>
          <w:i w:val="0"/>
          <w:iCs w:val="0"/>
          <w:color w:val="000000"/>
        </w:rPr>
        <w:t xml:space="preserve"> (Fig. 1)</w:t>
      </w:r>
      <w:r w:rsidR="00343396">
        <w:rPr>
          <w:rStyle w:val="IntenseEmphasis"/>
          <w:rFonts w:eastAsia="Times New Roman"/>
          <w:i w:val="0"/>
          <w:iCs w:val="0"/>
          <w:color w:val="000000"/>
        </w:rPr>
        <w:t xml:space="preserve">. This is a later extension into fall than previous years; this occurred in part because GMRI was unable to complete seining operations in August and most of September due to boat engine issues. Regardless, </w:t>
      </w:r>
      <w:proofErr w:type="gramStart"/>
      <w:r w:rsidR="00CA2FBF">
        <w:rPr>
          <w:rStyle w:val="IntenseEmphasis"/>
          <w:rFonts w:eastAsia="Times New Roman"/>
          <w:i w:val="0"/>
          <w:iCs w:val="0"/>
          <w:color w:val="000000"/>
        </w:rPr>
        <w:t>total</w:t>
      </w:r>
      <w:proofErr w:type="gramEnd"/>
      <w:r w:rsidR="00CA2FBF">
        <w:rPr>
          <w:rStyle w:val="IntenseEmphasis"/>
          <w:rFonts w:eastAsia="Times New Roman"/>
          <w:i w:val="0"/>
          <w:iCs w:val="0"/>
          <w:color w:val="000000"/>
        </w:rPr>
        <w:t xml:space="preserve"> </w:t>
      </w:r>
      <w:r w:rsidR="00804703">
        <w:rPr>
          <w:rStyle w:val="IntenseEmphasis"/>
          <w:rFonts w:eastAsia="Times New Roman"/>
          <w:i w:val="0"/>
          <w:iCs w:val="0"/>
          <w:color w:val="000000"/>
        </w:rPr>
        <w:t xml:space="preserve">2024 </w:t>
      </w:r>
      <w:r w:rsidR="00343396">
        <w:rPr>
          <w:rStyle w:val="IntenseEmphasis"/>
          <w:rFonts w:eastAsia="Times New Roman"/>
          <w:i w:val="0"/>
          <w:iCs w:val="0"/>
          <w:color w:val="000000"/>
        </w:rPr>
        <w:t xml:space="preserve">sampling effort was </w:t>
      </w:r>
      <w:proofErr w:type="gramStart"/>
      <w:r w:rsidR="00343396">
        <w:rPr>
          <w:rStyle w:val="IntenseEmphasis"/>
          <w:rFonts w:eastAsia="Times New Roman"/>
          <w:i w:val="0"/>
          <w:iCs w:val="0"/>
          <w:color w:val="000000"/>
        </w:rPr>
        <w:t>similar to</w:t>
      </w:r>
      <w:proofErr w:type="gramEnd"/>
      <w:r w:rsidR="00343396">
        <w:rPr>
          <w:rStyle w:val="IntenseEmphasis"/>
          <w:rFonts w:eastAsia="Times New Roman"/>
          <w:i w:val="0"/>
          <w:iCs w:val="0"/>
          <w:color w:val="000000"/>
        </w:rPr>
        <w:t xml:space="preserve"> </w:t>
      </w:r>
      <w:r w:rsidR="00804703">
        <w:rPr>
          <w:rStyle w:val="IntenseEmphasis"/>
          <w:rFonts w:eastAsia="Times New Roman"/>
          <w:i w:val="0"/>
          <w:iCs w:val="0"/>
          <w:color w:val="000000"/>
        </w:rPr>
        <w:t>2023 sampling effort</w:t>
      </w:r>
      <w:r w:rsidR="00343396">
        <w:rPr>
          <w:rStyle w:val="IntenseEmphasis"/>
          <w:rFonts w:eastAsia="Times New Roman"/>
          <w:i w:val="0"/>
          <w:iCs w:val="0"/>
          <w:color w:val="000000"/>
        </w:rPr>
        <w:t xml:space="preserve">. QBC interns participated in 11 weeks of operations, resulting in </w:t>
      </w:r>
      <w:r w:rsidR="00020539">
        <w:rPr>
          <w:rStyle w:val="IntenseEmphasis"/>
          <w:rFonts w:eastAsia="Times New Roman"/>
          <w:i w:val="0"/>
          <w:iCs w:val="0"/>
          <w:color w:val="000000"/>
        </w:rPr>
        <w:t>66</w:t>
      </w:r>
      <w:r w:rsidR="00343396">
        <w:rPr>
          <w:rStyle w:val="IntenseEmphasis"/>
          <w:rFonts w:eastAsia="Times New Roman"/>
          <w:i w:val="0"/>
          <w:iCs w:val="0"/>
          <w:color w:val="000000"/>
        </w:rPr>
        <w:t xml:space="preserve"> seine samples, </w:t>
      </w:r>
      <w:r w:rsidR="00020539">
        <w:rPr>
          <w:rStyle w:val="IntenseEmphasis"/>
          <w:rFonts w:eastAsia="Times New Roman"/>
          <w:i w:val="0"/>
          <w:iCs w:val="0"/>
          <w:color w:val="000000"/>
        </w:rPr>
        <w:t>198</w:t>
      </w:r>
      <w:r w:rsidR="00343396">
        <w:rPr>
          <w:rStyle w:val="IntenseEmphasis"/>
          <w:rFonts w:eastAsia="Times New Roman"/>
          <w:i w:val="0"/>
          <w:iCs w:val="0"/>
          <w:color w:val="000000"/>
        </w:rPr>
        <w:t xml:space="preserve"> eDNA water samples, and nearly </w:t>
      </w:r>
      <w:r w:rsidR="00020539">
        <w:rPr>
          <w:rStyle w:val="IntenseEmphasis"/>
          <w:rFonts w:eastAsia="Times New Roman"/>
          <w:i w:val="0"/>
          <w:iCs w:val="0"/>
          <w:color w:val="000000"/>
        </w:rPr>
        <w:t>38</w:t>
      </w:r>
      <w:r w:rsidR="00343396">
        <w:rPr>
          <w:rStyle w:val="IntenseEmphasis"/>
          <w:rFonts w:eastAsia="Times New Roman"/>
          <w:i w:val="0"/>
          <w:iCs w:val="0"/>
          <w:color w:val="000000"/>
        </w:rPr>
        <w:t xml:space="preserve"> hours on the water. </w:t>
      </w:r>
      <w:r w:rsidR="00020539">
        <w:rPr>
          <w:rStyle w:val="IntenseEmphasis"/>
          <w:rFonts w:eastAsia="Times New Roman"/>
          <w:i w:val="0"/>
          <w:iCs w:val="0"/>
          <w:color w:val="000000"/>
        </w:rPr>
        <w:t>Dr. Lankowicz completed an additional week of sampling</w:t>
      </w:r>
      <w:r w:rsidR="00804703">
        <w:rPr>
          <w:rStyle w:val="IntenseEmphasis"/>
          <w:rFonts w:eastAsia="Times New Roman"/>
          <w:i w:val="0"/>
          <w:iCs w:val="0"/>
          <w:color w:val="000000"/>
        </w:rPr>
        <w:t xml:space="preserve"> with QBC staff</w:t>
      </w:r>
      <w:r w:rsidR="00020539">
        <w:rPr>
          <w:rStyle w:val="IntenseEmphasis"/>
          <w:rFonts w:eastAsia="Times New Roman"/>
          <w:i w:val="0"/>
          <w:iCs w:val="0"/>
          <w:color w:val="000000"/>
        </w:rPr>
        <w:t xml:space="preserve"> in September</w:t>
      </w:r>
      <w:r w:rsidR="00CA2FBF">
        <w:rPr>
          <w:rStyle w:val="IntenseEmphasis"/>
          <w:rFonts w:eastAsia="Times New Roman"/>
          <w:i w:val="0"/>
          <w:iCs w:val="0"/>
          <w:color w:val="000000"/>
        </w:rPr>
        <w:t>, bringing the total time spent on seine operations at QBC to 42 hours.</w:t>
      </w:r>
      <w:r w:rsidR="00804703">
        <w:rPr>
          <w:rStyle w:val="IntenseEmphasis"/>
          <w:rFonts w:eastAsia="Times New Roman"/>
          <w:i w:val="0"/>
          <w:iCs w:val="0"/>
          <w:color w:val="000000"/>
        </w:rPr>
        <w:t xml:space="preserve"> GMRI staff and REUs </w:t>
      </w:r>
      <w:r w:rsidR="00CA2FBF">
        <w:rPr>
          <w:rStyle w:val="IntenseEmphasis"/>
          <w:rFonts w:eastAsia="Times New Roman"/>
          <w:i w:val="0"/>
          <w:iCs w:val="0"/>
          <w:color w:val="000000"/>
        </w:rPr>
        <w:t>completed 10 weeks of operations, resulting in 54 seine samples, 162 eDNA water samples, and 29 hours on the water.</w:t>
      </w:r>
    </w:p>
    <w:p w14:paraId="51BB628A" w14:textId="11AAA1B8" w:rsidR="00A06850" w:rsidRDefault="00A06850" w:rsidP="003B31DC">
      <w:pPr>
        <w:rPr>
          <w:rStyle w:val="IntenseEmphasis"/>
          <w:rFonts w:eastAsia="Times New Roman"/>
          <w:i w:val="0"/>
          <w:iCs w:val="0"/>
          <w:color w:val="000000"/>
        </w:rPr>
      </w:pPr>
      <w:r>
        <w:rPr>
          <w:rFonts w:eastAsia="Times New Roman"/>
          <w:noProof/>
          <w:color w:val="000000"/>
        </w:rPr>
        <w:drawing>
          <wp:inline distT="0" distB="0" distL="0" distR="0" wp14:anchorId="5A0AC890" wp14:editId="0F63C827">
            <wp:extent cx="5943600" cy="2967990"/>
            <wp:effectExtent l="0" t="0" r="0" b="3810"/>
            <wp:docPr id="18908455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45555" name="Picture 1" descr="A graph of a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14:paraId="0DFE0EFF" w14:textId="354E01D2" w:rsidR="00A06850" w:rsidRDefault="00A06850" w:rsidP="003B31DC">
      <w:pPr>
        <w:rPr>
          <w:rStyle w:val="IntenseEmphasis"/>
          <w:rFonts w:eastAsia="Times New Roman"/>
          <w:i w:val="0"/>
          <w:iCs w:val="0"/>
          <w:color w:val="000000"/>
        </w:rPr>
      </w:pPr>
      <w:r>
        <w:rPr>
          <w:rStyle w:val="IntenseEmphasis"/>
          <w:rFonts w:eastAsia="Times New Roman"/>
          <w:i w:val="0"/>
          <w:iCs w:val="0"/>
          <w:color w:val="000000"/>
        </w:rPr>
        <w:t>Figure 1. Time spent on the water each week of the 2024 field season by agency (QBC = green, GMRI = blue).</w:t>
      </w:r>
    </w:p>
    <w:p w14:paraId="5A1CC23B" w14:textId="577555B5" w:rsidR="00A06850" w:rsidRDefault="00CA2FBF" w:rsidP="003B31DC">
      <w:pPr>
        <w:rPr>
          <w:rStyle w:val="IntenseEmphasis"/>
          <w:rFonts w:eastAsia="Times New Roman"/>
          <w:i w:val="0"/>
          <w:iCs w:val="0"/>
          <w:color w:val="000000"/>
        </w:rPr>
      </w:pPr>
      <w:r>
        <w:rPr>
          <w:rStyle w:val="IntenseEmphasis"/>
          <w:rFonts w:eastAsia="Times New Roman"/>
          <w:i w:val="0"/>
          <w:iCs w:val="0"/>
          <w:color w:val="000000"/>
        </w:rPr>
        <w:t xml:space="preserve">QBC interns collected, identified, and measured more than 5,500 fish representing 20 different species. The interns learned the basics of finfish anatomy and the use of dichotomous keys to aid in species identification. </w:t>
      </w:r>
      <w:r w:rsidR="00E8538D">
        <w:rPr>
          <w:rStyle w:val="IntenseEmphasis"/>
          <w:rFonts w:eastAsia="Times New Roman"/>
          <w:i w:val="0"/>
          <w:iCs w:val="0"/>
          <w:color w:val="000000"/>
        </w:rPr>
        <w:t xml:space="preserve">GMRI staff identified 11,300 fish representing 21 different species. </w:t>
      </w:r>
      <w:r w:rsidR="00DA1774">
        <w:rPr>
          <w:rStyle w:val="IntenseEmphasis"/>
          <w:rFonts w:eastAsia="Times New Roman"/>
          <w:i w:val="0"/>
          <w:iCs w:val="0"/>
          <w:color w:val="000000"/>
        </w:rPr>
        <w:t>Species composition was similar between the collections, with more representation of highly</w:t>
      </w:r>
      <w:r w:rsidR="00A06850">
        <w:rPr>
          <w:rStyle w:val="IntenseEmphasis"/>
          <w:rFonts w:eastAsia="Times New Roman"/>
          <w:i w:val="0"/>
          <w:iCs w:val="0"/>
          <w:color w:val="000000"/>
        </w:rPr>
        <w:t xml:space="preserve"> </w:t>
      </w:r>
      <w:r w:rsidR="00DA1774">
        <w:rPr>
          <w:rStyle w:val="IntenseEmphasis"/>
          <w:rFonts w:eastAsia="Times New Roman"/>
          <w:i w:val="0"/>
          <w:iCs w:val="0"/>
          <w:color w:val="000000"/>
        </w:rPr>
        <w:t xml:space="preserve">migratory pelagic species (Atlantic mackerel, Atlantic saury) near Harpswell and more representation of freshwater and anadromous species (Atlantic sturgeon, American eel, fallfish) near Portland. Notably, several “Gulf Stream </w:t>
      </w:r>
      <w:r w:rsidR="001370F3">
        <w:rPr>
          <w:rStyle w:val="IntenseEmphasis"/>
          <w:rFonts w:eastAsia="Times New Roman"/>
          <w:i w:val="0"/>
          <w:iCs w:val="0"/>
          <w:color w:val="000000"/>
        </w:rPr>
        <w:t>o</w:t>
      </w:r>
      <w:r w:rsidR="00DA1774">
        <w:rPr>
          <w:rStyle w:val="IntenseEmphasis"/>
          <w:rFonts w:eastAsia="Times New Roman"/>
          <w:i w:val="0"/>
          <w:iCs w:val="0"/>
          <w:color w:val="000000"/>
        </w:rPr>
        <w:t>rphans”</w:t>
      </w:r>
      <w:r w:rsidR="00A06850">
        <w:rPr>
          <w:rStyle w:val="IntenseEmphasis"/>
          <w:rFonts w:eastAsia="Times New Roman"/>
          <w:i w:val="0"/>
          <w:iCs w:val="0"/>
          <w:color w:val="000000"/>
        </w:rPr>
        <w:t xml:space="preserve"> (crevalle jack, permit)</w:t>
      </w:r>
      <w:r w:rsidR="00DA1774">
        <w:rPr>
          <w:rStyle w:val="IntenseEmphasis"/>
          <w:rFonts w:eastAsia="Times New Roman"/>
          <w:i w:val="0"/>
          <w:iCs w:val="0"/>
          <w:color w:val="000000"/>
        </w:rPr>
        <w:t xml:space="preserve"> were caught by QBC in August and September, when GMRI was unable to sample. </w:t>
      </w:r>
      <w:r w:rsidR="001370F3">
        <w:rPr>
          <w:rStyle w:val="IntenseEmphasis"/>
          <w:rFonts w:eastAsia="Times New Roman"/>
          <w:i w:val="0"/>
          <w:iCs w:val="0"/>
          <w:color w:val="000000"/>
        </w:rPr>
        <w:t xml:space="preserve">These “orphans” include several </w:t>
      </w:r>
      <w:r w:rsidR="00A06850">
        <w:rPr>
          <w:rStyle w:val="IntenseEmphasis"/>
          <w:rFonts w:eastAsia="Times New Roman"/>
          <w:i w:val="0"/>
          <w:iCs w:val="0"/>
          <w:color w:val="000000"/>
        </w:rPr>
        <w:t xml:space="preserve">subtropical or tropical </w:t>
      </w:r>
      <w:r w:rsidR="001370F3">
        <w:rPr>
          <w:rStyle w:val="IntenseEmphasis"/>
          <w:rFonts w:eastAsia="Times New Roman"/>
          <w:i w:val="0"/>
          <w:iCs w:val="0"/>
          <w:color w:val="000000"/>
        </w:rPr>
        <w:t>species that</w:t>
      </w:r>
      <w:r w:rsidR="00A06850">
        <w:rPr>
          <w:rStyle w:val="IntenseEmphasis"/>
          <w:rFonts w:eastAsia="Times New Roman"/>
          <w:i w:val="0"/>
          <w:iCs w:val="0"/>
          <w:color w:val="000000"/>
        </w:rPr>
        <w:t xml:space="preserve"> have native ranges entirely </w:t>
      </w:r>
      <w:r w:rsidR="00DA1774">
        <w:rPr>
          <w:rStyle w:val="IntenseEmphasis"/>
          <w:rFonts w:eastAsia="Times New Roman"/>
          <w:i w:val="0"/>
          <w:iCs w:val="0"/>
          <w:color w:val="000000"/>
        </w:rPr>
        <w:t xml:space="preserve">south of Cape </w:t>
      </w:r>
      <w:proofErr w:type="gramStart"/>
      <w:r w:rsidR="00DA1774">
        <w:rPr>
          <w:rStyle w:val="IntenseEmphasis"/>
          <w:rFonts w:eastAsia="Times New Roman"/>
          <w:i w:val="0"/>
          <w:iCs w:val="0"/>
          <w:color w:val="000000"/>
        </w:rPr>
        <w:t>Cod, but</w:t>
      </w:r>
      <w:proofErr w:type="gramEnd"/>
      <w:r w:rsidR="00DA1774">
        <w:rPr>
          <w:rStyle w:val="IntenseEmphasis"/>
          <w:rFonts w:eastAsia="Times New Roman"/>
          <w:i w:val="0"/>
          <w:iCs w:val="0"/>
          <w:color w:val="000000"/>
        </w:rPr>
        <w:t xml:space="preserve"> will occasionally be entrained in Gulf Stream eddies as lar</w:t>
      </w:r>
      <w:r w:rsidR="001370F3">
        <w:rPr>
          <w:rStyle w:val="IntenseEmphasis"/>
          <w:rFonts w:eastAsia="Times New Roman"/>
          <w:i w:val="0"/>
          <w:iCs w:val="0"/>
          <w:color w:val="000000"/>
        </w:rPr>
        <w:t>vae or juveniles. They will then be advected further north than typical adult distribution, grow through the summer season, and die when Gulf of Maine winter water temperatures decrease beyond their thermal tolerances.</w:t>
      </w:r>
      <w:r w:rsidR="00A06850">
        <w:rPr>
          <w:rStyle w:val="IntenseEmphasis"/>
          <w:rFonts w:eastAsia="Times New Roman"/>
          <w:i w:val="0"/>
          <w:iCs w:val="0"/>
          <w:color w:val="000000"/>
        </w:rPr>
        <w:t xml:space="preserve"> As in previous years, nearshore fish community assemblage was dominated by Atlantic herring early in the </w:t>
      </w:r>
      <w:proofErr w:type="gramStart"/>
      <w:r w:rsidR="00A06850">
        <w:rPr>
          <w:rStyle w:val="IntenseEmphasis"/>
          <w:rFonts w:eastAsia="Times New Roman"/>
          <w:i w:val="0"/>
          <w:iCs w:val="0"/>
          <w:color w:val="000000"/>
        </w:rPr>
        <w:t>summer, but</w:t>
      </w:r>
      <w:proofErr w:type="gramEnd"/>
      <w:r w:rsidR="00A06850">
        <w:rPr>
          <w:rStyle w:val="IntenseEmphasis"/>
          <w:rFonts w:eastAsia="Times New Roman"/>
          <w:i w:val="0"/>
          <w:iCs w:val="0"/>
          <w:color w:val="000000"/>
        </w:rPr>
        <w:t xml:space="preserve"> shifted to Atlantic silverside by August (Fig. 2).</w:t>
      </w:r>
    </w:p>
    <w:p w14:paraId="3AAA40D2" w14:textId="0F4F4D25" w:rsidR="00A06850" w:rsidRDefault="00A06850" w:rsidP="003B31DC">
      <w:pPr>
        <w:rPr>
          <w:rStyle w:val="IntenseEmphasis"/>
          <w:rFonts w:eastAsia="Times New Roman"/>
          <w:i w:val="0"/>
          <w:iCs w:val="0"/>
          <w:color w:val="000000"/>
        </w:rPr>
      </w:pPr>
      <w:r>
        <w:rPr>
          <w:rFonts w:eastAsia="Times New Roman"/>
          <w:noProof/>
          <w:color w:val="000000"/>
        </w:rPr>
        <w:lastRenderedPageBreak/>
        <w:drawing>
          <wp:inline distT="0" distB="0" distL="0" distR="0" wp14:anchorId="704F4D58" wp14:editId="6388BA66">
            <wp:extent cx="5943600" cy="3834765"/>
            <wp:effectExtent l="0" t="0" r="0" b="0"/>
            <wp:docPr id="732657168" name="Picture 2"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57168" name="Picture 2" descr="A chart of different colo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34765"/>
                    </a:xfrm>
                    <a:prstGeom prst="rect">
                      <a:avLst/>
                    </a:prstGeom>
                  </pic:spPr>
                </pic:pic>
              </a:graphicData>
            </a:graphic>
          </wp:inline>
        </w:drawing>
      </w:r>
    </w:p>
    <w:p w14:paraId="790B1FA4" w14:textId="23712FB3" w:rsidR="00A06850" w:rsidRDefault="00A06850" w:rsidP="003B31DC">
      <w:pPr>
        <w:rPr>
          <w:rStyle w:val="IntenseEmphasis"/>
          <w:rFonts w:eastAsia="Times New Roman"/>
          <w:i w:val="0"/>
          <w:iCs w:val="0"/>
          <w:color w:val="000000"/>
        </w:rPr>
      </w:pPr>
      <w:r>
        <w:rPr>
          <w:rStyle w:val="IntenseEmphasis"/>
          <w:rFonts w:eastAsia="Times New Roman"/>
          <w:i w:val="0"/>
          <w:iCs w:val="0"/>
          <w:color w:val="000000"/>
        </w:rPr>
        <w:t xml:space="preserve">Figure 2. Weekly Casco Bay nearshore community assemblage, as determined by combined QBC and GMRI seine samples. Results are presented as species proportion (%) of weekly total catch. Notice how Atlantic herring (yellow bars, herring) catch declines from highs in early June until a sudden disappearance in early July. Conversely, Atlantic silverside (purple bars, </w:t>
      </w:r>
      <w:proofErr w:type="spellStart"/>
      <w:r>
        <w:rPr>
          <w:rStyle w:val="IntenseEmphasis"/>
          <w:rFonts w:eastAsia="Times New Roman"/>
          <w:i w:val="0"/>
          <w:iCs w:val="0"/>
          <w:color w:val="000000"/>
        </w:rPr>
        <w:t>slvrsd</w:t>
      </w:r>
      <w:proofErr w:type="spellEnd"/>
      <w:r>
        <w:rPr>
          <w:rStyle w:val="IntenseEmphasis"/>
          <w:rFonts w:eastAsia="Times New Roman"/>
          <w:i w:val="0"/>
          <w:iCs w:val="0"/>
          <w:color w:val="000000"/>
        </w:rPr>
        <w:t xml:space="preserve">) catch increases over the summer and dominates weekly catch by late July. Other frequently caught species include green crab (blue bars, </w:t>
      </w:r>
      <w:proofErr w:type="spellStart"/>
      <w:r>
        <w:rPr>
          <w:rStyle w:val="IntenseEmphasis"/>
          <w:rFonts w:eastAsia="Times New Roman"/>
          <w:i w:val="0"/>
          <w:iCs w:val="0"/>
          <w:color w:val="000000"/>
        </w:rPr>
        <w:t>g.crab</w:t>
      </w:r>
      <w:proofErr w:type="spellEnd"/>
      <w:r>
        <w:rPr>
          <w:rStyle w:val="IntenseEmphasis"/>
          <w:rFonts w:eastAsia="Times New Roman"/>
          <w:i w:val="0"/>
          <w:iCs w:val="0"/>
          <w:color w:val="000000"/>
        </w:rPr>
        <w:t xml:space="preserve">) and mummichog (dark green bars, </w:t>
      </w:r>
      <w:proofErr w:type="spellStart"/>
      <w:r>
        <w:rPr>
          <w:rStyle w:val="IntenseEmphasis"/>
          <w:rFonts w:eastAsia="Times New Roman"/>
          <w:i w:val="0"/>
          <w:iCs w:val="0"/>
          <w:color w:val="000000"/>
        </w:rPr>
        <w:t>mmichg</w:t>
      </w:r>
      <w:proofErr w:type="spellEnd"/>
      <w:r>
        <w:rPr>
          <w:rStyle w:val="IntenseEmphasis"/>
          <w:rFonts w:eastAsia="Times New Roman"/>
          <w:i w:val="0"/>
          <w:iCs w:val="0"/>
          <w:color w:val="000000"/>
        </w:rPr>
        <w:t xml:space="preserve">). White mullet schools (light green bars, </w:t>
      </w:r>
      <w:proofErr w:type="spellStart"/>
      <w:r>
        <w:rPr>
          <w:rStyle w:val="IntenseEmphasis"/>
          <w:rFonts w:eastAsia="Times New Roman"/>
          <w:i w:val="0"/>
          <w:iCs w:val="0"/>
          <w:color w:val="000000"/>
        </w:rPr>
        <w:t>w.mllt</w:t>
      </w:r>
      <w:proofErr w:type="spellEnd"/>
      <w:r>
        <w:rPr>
          <w:rStyle w:val="IntenseEmphasis"/>
          <w:rFonts w:eastAsia="Times New Roman"/>
          <w:i w:val="0"/>
          <w:iCs w:val="0"/>
          <w:color w:val="000000"/>
        </w:rPr>
        <w:t>) were notable in early August, but did not otherwise make up significant portions of catch.</w:t>
      </w:r>
    </w:p>
    <w:p w14:paraId="49F74F4B" w14:textId="7FE02AE5" w:rsidR="00A06850" w:rsidRDefault="00AB58B5" w:rsidP="003B31DC">
      <w:pPr>
        <w:rPr>
          <w:rStyle w:val="IntenseEmphasis"/>
          <w:rFonts w:eastAsia="Times New Roman"/>
          <w:i w:val="0"/>
          <w:iCs w:val="0"/>
          <w:color w:val="000000"/>
        </w:rPr>
      </w:pPr>
      <w:r>
        <w:rPr>
          <w:rStyle w:val="IntenseEmphasis"/>
          <w:rFonts w:eastAsia="Times New Roman"/>
          <w:i w:val="0"/>
          <w:iCs w:val="0"/>
          <w:color w:val="000000"/>
        </w:rPr>
        <w:t xml:space="preserve">Another notable result was an increase in Atlantic </w:t>
      </w:r>
      <w:proofErr w:type="gramStart"/>
      <w:r>
        <w:rPr>
          <w:rStyle w:val="IntenseEmphasis"/>
          <w:rFonts w:eastAsia="Times New Roman"/>
          <w:i w:val="0"/>
          <w:iCs w:val="0"/>
          <w:color w:val="000000"/>
        </w:rPr>
        <w:t>tomcod</w:t>
      </w:r>
      <w:proofErr w:type="gramEnd"/>
      <w:r>
        <w:rPr>
          <w:rStyle w:val="IntenseEmphasis"/>
          <w:rFonts w:eastAsia="Times New Roman"/>
          <w:i w:val="0"/>
          <w:iCs w:val="0"/>
          <w:color w:val="000000"/>
        </w:rPr>
        <w:t xml:space="preserve"> catch per unit effort (CPUE) from</w:t>
      </w:r>
      <w:r w:rsidR="003850F2">
        <w:rPr>
          <w:rStyle w:val="IntenseEmphasis"/>
          <w:rFonts w:eastAsia="Times New Roman"/>
          <w:i w:val="0"/>
          <w:iCs w:val="0"/>
          <w:color w:val="000000"/>
        </w:rPr>
        <w:t xml:space="preserve"> </w:t>
      </w:r>
      <w:r>
        <w:rPr>
          <w:rStyle w:val="IntenseEmphasis"/>
          <w:rFonts w:eastAsia="Times New Roman"/>
          <w:i w:val="0"/>
          <w:iCs w:val="0"/>
          <w:color w:val="000000"/>
        </w:rPr>
        <w:t>previous</w:t>
      </w:r>
      <w:r w:rsidR="003850F2">
        <w:rPr>
          <w:rStyle w:val="IntenseEmphasis"/>
          <w:rFonts w:eastAsia="Times New Roman"/>
          <w:i w:val="0"/>
          <w:iCs w:val="0"/>
          <w:color w:val="000000"/>
        </w:rPr>
        <w:t xml:space="preserve"> years</w:t>
      </w:r>
      <w:r w:rsidR="00A06850">
        <w:rPr>
          <w:rStyle w:val="IntenseEmphasis"/>
          <w:rFonts w:eastAsia="Times New Roman"/>
          <w:i w:val="0"/>
          <w:iCs w:val="0"/>
          <w:color w:val="000000"/>
        </w:rPr>
        <w:t xml:space="preserve"> (Fig. 3)</w:t>
      </w:r>
      <w:r>
        <w:rPr>
          <w:rStyle w:val="IntenseEmphasis"/>
          <w:rFonts w:eastAsia="Times New Roman"/>
          <w:i w:val="0"/>
          <w:iCs w:val="0"/>
          <w:color w:val="000000"/>
        </w:rPr>
        <w:t xml:space="preserve">. </w:t>
      </w:r>
      <w:r w:rsidR="001370F3">
        <w:rPr>
          <w:rStyle w:val="IntenseEmphasis"/>
          <w:rFonts w:eastAsia="Times New Roman"/>
          <w:i w:val="0"/>
          <w:iCs w:val="0"/>
          <w:color w:val="000000"/>
        </w:rPr>
        <w:t xml:space="preserve">Tomcod </w:t>
      </w:r>
      <w:r w:rsidR="00A06850">
        <w:rPr>
          <w:rStyle w:val="IntenseEmphasis"/>
          <w:rFonts w:eastAsia="Times New Roman"/>
          <w:i w:val="0"/>
          <w:iCs w:val="0"/>
          <w:color w:val="000000"/>
        </w:rPr>
        <w:t xml:space="preserve">reach sexual maturity at 11 months and can live to 4 years, though there is evidence that few live past age 1 </w:t>
      </w:r>
      <w:r w:rsidR="00A06850">
        <w:rPr>
          <w:rStyle w:val="IntenseEmphasis"/>
          <w:rFonts w:eastAsia="Times New Roman"/>
          <w:i w:val="0"/>
          <w:iCs w:val="0"/>
          <w:color w:val="000000"/>
        </w:rPr>
        <w:fldChar w:fldCharType="begin"/>
      </w:r>
      <w:r w:rsidR="00A06850">
        <w:rPr>
          <w:rStyle w:val="IntenseEmphasis"/>
          <w:rFonts w:eastAsia="Times New Roman"/>
          <w:i w:val="0"/>
          <w:iCs w:val="0"/>
          <w:color w:val="000000"/>
        </w:rPr>
        <w:instrText xml:space="preserve"> ADDIN ZOTERO_ITEM CSL_CITATION {"citationID":"MvFjRcev","properties":{"formattedCitation":"(Waldman 2006)","plainCitation":"(Waldman 2006)","noteIndex":0},"citationItems":[{"id":306,"uris":["http://zotero.org/users/11233743/items/JMNRJHBU"],"itemData":{"id":306,"type":"chapter","container-title":"The Hudson River Estuary","edition":"1","ISBN":"978-0-521-84478-9","language":"en","license":"https://www.cambridge.org/core/terms","note":"DOI: 10.1017/CBO9780511550539.015","page":"171-188","publisher":"Cambridge University Press","source":"DOI.org (Crossref)","title":"The Diadromous Fish Fauna of the Hudson River: Life Histories, Conservation Concerns, and Research Avenues","title-short":"The Diadromous Fish Fauna of the Hudson River","URL":"https://www.cambridge.org/core/product/identifier/CBO9780511550539A024/type/book_part","editor":[{"family":"Levinton","given":"Jeffrey S."},{"family":"Waldman","given":"John R."}],"author":[{"family":"Waldman","given":"John R."}],"accessed":{"date-parts":[["2024",12,4]]},"issued":{"date-parts":[["2006",1,9]]}}}],"schema":"https://github.com/citation-style-language/schema/raw/master/csl-citation.json"} </w:instrText>
      </w:r>
      <w:r w:rsidR="00A06850">
        <w:rPr>
          <w:rStyle w:val="IntenseEmphasis"/>
          <w:rFonts w:eastAsia="Times New Roman"/>
          <w:i w:val="0"/>
          <w:iCs w:val="0"/>
          <w:color w:val="000000"/>
        </w:rPr>
        <w:fldChar w:fldCharType="separate"/>
      </w:r>
      <w:r w:rsidR="00A06850" w:rsidRPr="00A06850">
        <w:rPr>
          <w:rFonts w:ascii="Aptos" w:hAnsi="Aptos"/>
        </w:rPr>
        <w:t>(Waldman 2006)</w:t>
      </w:r>
      <w:r w:rsidR="00A06850">
        <w:rPr>
          <w:rStyle w:val="IntenseEmphasis"/>
          <w:rFonts w:eastAsia="Times New Roman"/>
          <w:i w:val="0"/>
          <w:iCs w:val="0"/>
          <w:color w:val="000000"/>
        </w:rPr>
        <w:fldChar w:fldCharType="end"/>
      </w:r>
      <w:r w:rsidR="001370F3">
        <w:rPr>
          <w:rStyle w:val="IntenseEmphasis"/>
          <w:rFonts w:eastAsia="Times New Roman"/>
          <w:i w:val="0"/>
          <w:iCs w:val="0"/>
          <w:color w:val="000000"/>
        </w:rPr>
        <w:t>. They spend their entire lives near the bottom of shallow estuarine and nearshore areas</w:t>
      </w:r>
      <w:r w:rsidR="00A06850">
        <w:rPr>
          <w:rStyle w:val="IntenseEmphasis"/>
          <w:rFonts w:eastAsia="Times New Roman"/>
          <w:i w:val="0"/>
          <w:iCs w:val="0"/>
          <w:color w:val="000000"/>
        </w:rPr>
        <w:t xml:space="preserve">, migrating to fresh upstream waters in the winter to spawn and </w:t>
      </w:r>
      <w:proofErr w:type="gramStart"/>
      <w:r w:rsidR="00A06850">
        <w:rPr>
          <w:rStyle w:val="IntenseEmphasis"/>
          <w:rFonts w:eastAsia="Times New Roman"/>
          <w:i w:val="0"/>
          <w:iCs w:val="0"/>
          <w:color w:val="000000"/>
        </w:rPr>
        <w:t>returning</w:t>
      </w:r>
      <w:proofErr w:type="gramEnd"/>
      <w:r w:rsidR="00A06850">
        <w:rPr>
          <w:rStyle w:val="IntenseEmphasis"/>
          <w:rFonts w:eastAsia="Times New Roman"/>
          <w:i w:val="0"/>
          <w:iCs w:val="0"/>
          <w:color w:val="000000"/>
        </w:rPr>
        <w:t xml:space="preserve"> to brackish environments in the spring. </w:t>
      </w:r>
      <w:r w:rsidR="001370F3">
        <w:rPr>
          <w:rStyle w:val="IntenseEmphasis"/>
          <w:rFonts w:eastAsia="Times New Roman"/>
          <w:i w:val="0"/>
          <w:iCs w:val="0"/>
          <w:color w:val="000000"/>
        </w:rPr>
        <w:t xml:space="preserve">Though as estuarine residents they are resistant to seasonal temperature swings, they prefer colder temperatures. </w:t>
      </w:r>
      <w:r w:rsidR="00A06850">
        <w:rPr>
          <w:rStyle w:val="IntenseEmphasis"/>
          <w:rFonts w:eastAsia="Times New Roman"/>
          <w:i w:val="0"/>
          <w:iCs w:val="0"/>
          <w:color w:val="000000"/>
        </w:rPr>
        <w:t xml:space="preserve">When water temperatures rapidly increase in the summer, </w:t>
      </w:r>
      <w:proofErr w:type="gramStart"/>
      <w:r w:rsidR="00A06850">
        <w:rPr>
          <w:rStyle w:val="IntenseEmphasis"/>
          <w:rFonts w:eastAsia="Times New Roman"/>
          <w:i w:val="0"/>
          <w:iCs w:val="0"/>
          <w:color w:val="000000"/>
        </w:rPr>
        <w:t>tomcod</w:t>
      </w:r>
      <w:proofErr w:type="gramEnd"/>
      <w:r w:rsidR="00A06850">
        <w:rPr>
          <w:rStyle w:val="IntenseEmphasis"/>
          <w:rFonts w:eastAsia="Times New Roman"/>
          <w:i w:val="0"/>
          <w:iCs w:val="0"/>
          <w:color w:val="000000"/>
        </w:rPr>
        <w:t xml:space="preserve"> move to slightly deeper, colder waters. </w:t>
      </w:r>
      <w:r w:rsidR="001370F3">
        <w:rPr>
          <w:rStyle w:val="IntenseEmphasis"/>
          <w:rFonts w:eastAsia="Times New Roman"/>
          <w:i w:val="0"/>
          <w:iCs w:val="0"/>
          <w:color w:val="000000"/>
        </w:rPr>
        <w:t xml:space="preserve">Previous studies on temperature-linked distributions of juvenile tomcod have indicated both that they used to be </w:t>
      </w:r>
      <w:r w:rsidR="00A06850">
        <w:rPr>
          <w:rStyle w:val="IntenseEmphasis"/>
          <w:rFonts w:eastAsia="Times New Roman"/>
          <w:i w:val="0"/>
          <w:iCs w:val="0"/>
          <w:color w:val="000000"/>
        </w:rPr>
        <w:t>abundant</w:t>
      </w:r>
      <w:r w:rsidR="001370F3">
        <w:rPr>
          <w:rStyle w:val="IntenseEmphasis"/>
          <w:rFonts w:eastAsia="Times New Roman"/>
          <w:i w:val="0"/>
          <w:iCs w:val="0"/>
          <w:color w:val="000000"/>
        </w:rPr>
        <w:t xml:space="preserve"> in nearshore Maine waters into July and that they are likely to avoid areas with bottom temperatures that exceed 22°C </w:t>
      </w:r>
      <w:r w:rsidR="00A06850">
        <w:rPr>
          <w:rStyle w:val="IntenseEmphasis"/>
          <w:rFonts w:eastAsia="Times New Roman"/>
          <w:i w:val="0"/>
          <w:iCs w:val="0"/>
          <w:color w:val="000000"/>
        </w:rPr>
        <w:fldChar w:fldCharType="begin"/>
      </w:r>
      <w:r w:rsidR="00A06850">
        <w:rPr>
          <w:rStyle w:val="IntenseEmphasis"/>
          <w:rFonts w:eastAsia="Times New Roman"/>
          <w:i w:val="0"/>
          <w:iCs w:val="0"/>
          <w:color w:val="000000"/>
        </w:rPr>
        <w:instrText xml:space="preserve"> ADDIN ZOTERO_ITEM CSL_CITATION {"citationID":"svESLE4o","properties":{"formattedCitation":"(Targett and McCleave 1974)","plainCitation":"(Targett and McCleave 1974)","noteIndex":0},"citationItems":[{"id":225,"uris":["http://zotero.org/users/11233743/items/PEYMQQI3"],"itemData":{"id":225,"type":"article-journal","abstract":"The daytime abundanceand localized distribution of fishes in relation to temperaturewere studied in a small tidal coveby beach seining on sevendates in the Back River estuary, Maine, duringthe summersof 1971and 1972. Temperatureson the sevendatesrangedfrom 15.1-26.2C, and sallnlties ranged from 17.3-24.7•. Eighteen speciesof fishes were captured, with mummichogs,smoothflounders,Ariantic silversidesand Atlantic herring togethercomprisingover 98% of the catch. Mummichogsand Atlantic silversideswere captured primarily near the inner end of the cove,while other abundant specieswere caughtmainly at the outer end of the cove. Several speciesseem well adapted to naturally warm cove temperatures. Others seem now virtually excludedbecauseof warm temperatures.Winter flounder,Atlantic herring, and Atlantic tomcodmight be excludedfrom the coveduring daytime in summerif artificial warming of the covewere permitted.","container-title":"Transactions of the American Fisheries Society","DOI":"10.1577/1548-8659(1974)103&lt;325:SAOFIA&gt;2.0.CO;2","ISSN":"0002-8487, 1548-8659","issue":"2","journalAbbreviation":"Transactions of the American Fisheries Society","language":"en","page":"325-330","source":"DOI.org (Crossref)","title":"Summer Abundance of Fishes in a Maine Tidal Cove with Special Reference to Temperature","volume":"103","author":[{"family":"Targett","given":"Timothy E."},{"family":"McCleave","given":"James D."}],"issued":{"date-parts":[["1974",4]]}}}],"schema":"https://github.com/citation-style-language/schema/raw/master/csl-citation.json"} </w:instrText>
      </w:r>
      <w:r w:rsidR="00A06850">
        <w:rPr>
          <w:rStyle w:val="IntenseEmphasis"/>
          <w:rFonts w:eastAsia="Times New Roman"/>
          <w:i w:val="0"/>
          <w:iCs w:val="0"/>
          <w:color w:val="000000"/>
        </w:rPr>
        <w:fldChar w:fldCharType="separate"/>
      </w:r>
      <w:r w:rsidR="00A06850" w:rsidRPr="00A06850">
        <w:rPr>
          <w:rFonts w:ascii="Aptos" w:hAnsi="Aptos"/>
        </w:rPr>
        <w:t>(Targett and McCleave 1974)</w:t>
      </w:r>
      <w:r w:rsidR="00A06850">
        <w:rPr>
          <w:rStyle w:val="IntenseEmphasis"/>
          <w:rFonts w:eastAsia="Times New Roman"/>
          <w:i w:val="0"/>
          <w:iCs w:val="0"/>
          <w:color w:val="000000"/>
        </w:rPr>
        <w:fldChar w:fldCharType="end"/>
      </w:r>
      <w:r w:rsidR="003850F2">
        <w:rPr>
          <w:rStyle w:val="IntenseEmphasis"/>
          <w:rFonts w:eastAsia="Times New Roman"/>
          <w:i w:val="0"/>
          <w:iCs w:val="0"/>
          <w:color w:val="000000"/>
        </w:rPr>
        <w:t xml:space="preserve">. </w:t>
      </w:r>
      <w:r w:rsidR="00A06850">
        <w:rPr>
          <w:rStyle w:val="IntenseEmphasis"/>
          <w:rFonts w:eastAsia="Times New Roman"/>
          <w:i w:val="0"/>
          <w:iCs w:val="0"/>
          <w:color w:val="000000"/>
        </w:rPr>
        <w:t xml:space="preserve">Associations between environmental conditions and tomcod </w:t>
      </w:r>
      <w:r>
        <w:rPr>
          <w:rStyle w:val="IntenseEmphasis"/>
          <w:rFonts w:eastAsia="Times New Roman"/>
          <w:i w:val="0"/>
          <w:iCs w:val="0"/>
          <w:color w:val="000000"/>
        </w:rPr>
        <w:t>catch will be explored in the forthcoming Ecosystem Indicator Report</w:t>
      </w:r>
      <w:r w:rsidR="00A06850">
        <w:rPr>
          <w:rStyle w:val="IntenseEmphasis"/>
          <w:rFonts w:eastAsia="Times New Roman"/>
          <w:i w:val="0"/>
          <w:iCs w:val="0"/>
          <w:color w:val="000000"/>
        </w:rPr>
        <w:t>. We expect to see positive associations between tomcod catch and a combination</w:t>
      </w:r>
      <w:r w:rsidR="003850F2">
        <w:rPr>
          <w:rStyle w:val="IntenseEmphasis"/>
          <w:rFonts w:eastAsia="Times New Roman"/>
          <w:i w:val="0"/>
          <w:iCs w:val="0"/>
          <w:color w:val="000000"/>
        </w:rPr>
        <w:t xml:space="preserve"> of</w:t>
      </w:r>
      <w:r>
        <w:rPr>
          <w:rStyle w:val="IntenseEmphasis"/>
          <w:rFonts w:eastAsia="Times New Roman"/>
          <w:i w:val="0"/>
          <w:iCs w:val="0"/>
          <w:color w:val="000000"/>
        </w:rPr>
        <w:t xml:space="preserve"> colder winter water temperatures, delayed spring warming, and increased winter precipitation. </w:t>
      </w:r>
    </w:p>
    <w:p w14:paraId="2F1FEA97" w14:textId="78FAD62C" w:rsidR="00DA1774" w:rsidRDefault="00A06850" w:rsidP="003B31DC">
      <w:pPr>
        <w:rPr>
          <w:rStyle w:val="IntenseEmphasis"/>
          <w:rFonts w:eastAsia="Times New Roman"/>
          <w:i w:val="0"/>
          <w:iCs w:val="0"/>
          <w:color w:val="000000"/>
        </w:rPr>
      </w:pPr>
      <w:r>
        <w:rPr>
          <w:rFonts w:eastAsia="Times New Roman"/>
          <w:noProof/>
          <w:color w:val="000000"/>
        </w:rPr>
        <w:lastRenderedPageBreak/>
        <w:drawing>
          <wp:inline distT="0" distB="0" distL="0" distR="0" wp14:anchorId="6674C91B" wp14:editId="500ED185">
            <wp:extent cx="5943600" cy="2967990"/>
            <wp:effectExtent l="0" t="0" r="0" b="3810"/>
            <wp:docPr id="828138331" name="Picture 3" descr="A graph of the month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38331" name="Picture 3" descr="A graph of the month of the ye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14:paraId="56F7BC2C" w14:textId="20E880AA" w:rsidR="00A06850" w:rsidRPr="003B31DC" w:rsidRDefault="00A06850" w:rsidP="003B31DC">
      <w:pPr>
        <w:rPr>
          <w:rStyle w:val="IntenseEmphasis"/>
          <w:rFonts w:eastAsia="Times New Roman"/>
          <w:i w:val="0"/>
          <w:iCs w:val="0"/>
          <w:color w:val="000000"/>
        </w:rPr>
      </w:pPr>
      <w:r>
        <w:rPr>
          <w:rStyle w:val="IntenseEmphasis"/>
          <w:rFonts w:eastAsia="Times New Roman"/>
          <w:i w:val="0"/>
          <w:iCs w:val="0"/>
          <w:color w:val="000000"/>
        </w:rPr>
        <w:t>Figure 3. Atlantic tomcod daily catch per unit effort (sum of fish caught divided by number of seine hauls) for all CBASS sampling years. Dots indicate observed daily CPUE, and blue lines are local regression (also known as moving average) models of summer CPUE. CPUE has historically been highest in late June. Note the decrease in CPUE from 2014 through 2023. Record catches of Atlantic tomcod in June 2024 drove a return to near time-series-high CPUE.</w:t>
      </w:r>
    </w:p>
    <w:p w14:paraId="2C066E4A" w14:textId="2388F497" w:rsidR="00960CB2" w:rsidRPr="00960CB2" w:rsidRDefault="00960CB2" w:rsidP="00960CB2">
      <w:pPr>
        <w:rPr>
          <w:rStyle w:val="IntenseEmphasis"/>
        </w:rPr>
      </w:pPr>
      <w:r>
        <w:rPr>
          <w:rStyle w:val="IntenseEmphasis"/>
        </w:rPr>
        <w:t>CBASS publication timelines</w:t>
      </w:r>
    </w:p>
    <w:p w14:paraId="124E0FD4" w14:textId="12D74EB4" w:rsidR="00960CB2" w:rsidRDefault="00A06850">
      <w:pPr>
        <w:rPr>
          <w:rFonts w:eastAsia="Times New Roman"/>
          <w:color w:val="000000"/>
        </w:rPr>
      </w:pPr>
      <w:r>
        <w:rPr>
          <w:rFonts w:eastAsia="Times New Roman"/>
          <w:color w:val="000000"/>
        </w:rPr>
        <w:t xml:space="preserve">To support the initial Ecosystem Indicator Report, Dr. Lankowicz began analyzing links between summer water temperatures and growth rates for Atlantic silverside and Atlantic herring. These species are both common to Casco Bay but have dichotomous life histories. Herring </w:t>
      </w:r>
      <w:proofErr w:type="gramStart"/>
      <w:r>
        <w:rPr>
          <w:rFonts w:eastAsia="Times New Roman"/>
          <w:color w:val="000000"/>
        </w:rPr>
        <w:t>use</w:t>
      </w:r>
      <w:proofErr w:type="gramEnd"/>
      <w:r>
        <w:rPr>
          <w:rFonts w:eastAsia="Times New Roman"/>
          <w:color w:val="000000"/>
        </w:rPr>
        <w:t xml:space="preserve"> estuarine areas like Casco Bay as nursery grounds in winter and spring and move to offshore environments as nearshore water temperatures exceed their thermal tolerances. Silverside are year-round estuarine residents and can tolerate much warmer waters. Initial analyses indicated that warmer summer water temperatures lead to significantly faster growth for young-of-year Atlantic silverside, but likely decreases Atlantic herring young-of-year growth. In the summer of 2024, QBC intern Courtney Swenson developed an interest in the project and chose to collaborate on it with Dr. Lankowicz. She completed a part of the analysis to fulfill her intern research project responsibilities. She </w:t>
      </w:r>
      <w:proofErr w:type="gramStart"/>
      <w:r>
        <w:rPr>
          <w:rFonts w:eastAsia="Times New Roman"/>
          <w:color w:val="000000"/>
        </w:rPr>
        <w:t>has since</w:t>
      </w:r>
      <w:proofErr w:type="gramEnd"/>
      <w:r>
        <w:rPr>
          <w:rFonts w:eastAsia="Times New Roman"/>
          <w:color w:val="000000"/>
        </w:rPr>
        <w:t xml:space="preserve"> agreed to work with Dr. Lankowicz as a co-author on a peer-reviewed article that will include her work. We expect to complete </w:t>
      </w:r>
      <w:proofErr w:type="gramStart"/>
      <w:r>
        <w:rPr>
          <w:rFonts w:eastAsia="Times New Roman"/>
          <w:color w:val="000000"/>
        </w:rPr>
        <w:t>a first</w:t>
      </w:r>
      <w:proofErr w:type="gramEnd"/>
      <w:r>
        <w:rPr>
          <w:rFonts w:eastAsia="Times New Roman"/>
          <w:color w:val="000000"/>
        </w:rPr>
        <w:t xml:space="preserve"> draft by the end of February 2025 and submit a final draft to a peer-reviewed journal by July 2025.</w:t>
      </w:r>
    </w:p>
    <w:p w14:paraId="4D8EF4EA" w14:textId="10670576" w:rsidR="00A06850" w:rsidRPr="00960CB2" w:rsidRDefault="00A06850" w:rsidP="00A06850">
      <w:pPr>
        <w:rPr>
          <w:rStyle w:val="IntenseEmphasis"/>
        </w:rPr>
      </w:pPr>
      <w:r>
        <w:rPr>
          <w:rStyle w:val="IntenseEmphasis"/>
        </w:rPr>
        <w:t>References</w:t>
      </w:r>
    </w:p>
    <w:p w14:paraId="4C7D47A3" w14:textId="77777777" w:rsidR="00A06850" w:rsidRPr="00A06850" w:rsidRDefault="00A06850" w:rsidP="00A06850">
      <w:pPr>
        <w:pStyle w:val="Bibliography"/>
        <w:rPr>
          <w:rFonts w:ascii="Aptos" w:hAnsi="Aptos"/>
        </w:rPr>
      </w:pPr>
      <w:r>
        <w:fldChar w:fldCharType="begin"/>
      </w:r>
      <w:r>
        <w:instrText xml:space="preserve"> ADDIN ZOTERO_BIBL {"uncited":[],"omitted":[],"custom":[]} CSL_BIBLIOGRAPHY </w:instrText>
      </w:r>
      <w:r>
        <w:fldChar w:fldCharType="separate"/>
      </w:r>
      <w:r w:rsidRPr="00A06850">
        <w:rPr>
          <w:rFonts w:ascii="Aptos" w:hAnsi="Aptos"/>
        </w:rPr>
        <w:t xml:space="preserve">Targett, T.E., and McCleave, J.D. 1974. Summer Abundance of Fishes in a Maine Tidal Cove with Special Reference to Temperature. Transactions of the American Fisheries Society </w:t>
      </w:r>
      <w:r w:rsidRPr="00A06850">
        <w:rPr>
          <w:rFonts w:ascii="Aptos" w:hAnsi="Aptos"/>
          <w:b/>
          <w:bCs/>
        </w:rPr>
        <w:t>103</w:t>
      </w:r>
      <w:r w:rsidRPr="00A06850">
        <w:rPr>
          <w:rFonts w:ascii="Aptos" w:hAnsi="Aptos"/>
        </w:rPr>
        <w:t>(2): 325–330. doi:10.1577/1548-8659(1974)103&lt;325:SAOFIA&gt;2.0.CO;2.</w:t>
      </w:r>
    </w:p>
    <w:p w14:paraId="7D322921" w14:textId="77777777" w:rsidR="00A06850" w:rsidRPr="00A06850" w:rsidRDefault="00A06850" w:rsidP="00A06850">
      <w:pPr>
        <w:pStyle w:val="Bibliography"/>
        <w:rPr>
          <w:rFonts w:ascii="Aptos" w:hAnsi="Aptos"/>
        </w:rPr>
      </w:pPr>
      <w:r w:rsidRPr="00A06850">
        <w:rPr>
          <w:rFonts w:ascii="Aptos" w:hAnsi="Aptos"/>
        </w:rPr>
        <w:t xml:space="preserve">Waldman, J.R. 2006. The Diadromous Fish Fauna of the Hudson River: Life Histories, Conservation Concerns, and Research Avenues. </w:t>
      </w:r>
      <w:r w:rsidRPr="00A06850">
        <w:rPr>
          <w:rFonts w:ascii="Aptos" w:hAnsi="Aptos"/>
          <w:i/>
          <w:iCs/>
        </w:rPr>
        <w:t>In</w:t>
      </w:r>
      <w:r w:rsidRPr="00A06850">
        <w:rPr>
          <w:rFonts w:ascii="Aptos" w:hAnsi="Aptos"/>
        </w:rPr>
        <w:t xml:space="preserve"> The Hudson River Estuary, 1st edition. </w:t>
      </w:r>
      <w:r w:rsidRPr="00A06850">
        <w:rPr>
          <w:rFonts w:ascii="Aptos" w:hAnsi="Aptos"/>
          <w:i/>
          <w:iCs/>
        </w:rPr>
        <w:t>Edited by</w:t>
      </w:r>
      <w:r w:rsidRPr="00A06850">
        <w:rPr>
          <w:rFonts w:ascii="Aptos" w:hAnsi="Aptos"/>
        </w:rPr>
        <w:t xml:space="preserve"> J.S. </w:t>
      </w:r>
      <w:proofErr w:type="spellStart"/>
      <w:r w:rsidRPr="00A06850">
        <w:rPr>
          <w:rFonts w:ascii="Aptos" w:hAnsi="Aptos"/>
        </w:rPr>
        <w:lastRenderedPageBreak/>
        <w:t>Levinton</w:t>
      </w:r>
      <w:proofErr w:type="spellEnd"/>
      <w:r w:rsidRPr="00A06850">
        <w:rPr>
          <w:rFonts w:ascii="Aptos" w:hAnsi="Aptos"/>
        </w:rPr>
        <w:t xml:space="preserve"> and J.R. Waldman. Cambridge University Press. pp. 171–188. doi:10.1017/CBO9780511550539.015.</w:t>
      </w:r>
    </w:p>
    <w:p w14:paraId="3BEB2BBC" w14:textId="67A2C411" w:rsidR="00A06850" w:rsidRDefault="00A06850">
      <w:r>
        <w:fldChar w:fldCharType="end"/>
      </w:r>
    </w:p>
    <w:sectPr w:rsidR="00A06850" w:rsidSect="0066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A51CAF"/>
    <w:multiLevelType w:val="hybridMultilevel"/>
    <w:tmpl w:val="49A0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09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wMrQ0MDOxNDc3NTJT0lEKTi0uzszPAykwrAUA0GDA3CwAAAA="/>
  </w:docVars>
  <w:rsids>
    <w:rsidRoot w:val="00960CB2"/>
    <w:rsid w:val="00020539"/>
    <w:rsid w:val="00130104"/>
    <w:rsid w:val="001370F3"/>
    <w:rsid w:val="001641B2"/>
    <w:rsid w:val="00343396"/>
    <w:rsid w:val="0035306D"/>
    <w:rsid w:val="003850F2"/>
    <w:rsid w:val="003B31DC"/>
    <w:rsid w:val="006657E3"/>
    <w:rsid w:val="00804703"/>
    <w:rsid w:val="00960CB2"/>
    <w:rsid w:val="00A06850"/>
    <w:rsid w:val="00AB58B5"/>
    <w:rsid w:val="00B6572D"/>
    <w:rsid w:val="00C432EC"/>
    <w:rsid w:val="00C750B6"/>
    <w:rsid w:val="00CA2FBF"/>
    <w:rsid w:val="00DA1774"/>
    <w:rsid w:val="00DE551C"/>
    <w:rsid w:val="00E3214D"/>
    <w:rsid w:val="00E8538D"/>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99E6"/>
  <w15:chartTrackingRefBased/>
  <w15:docId w15:val="{28F89FE1-628E-4FAF-91EF-C9B96E9D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850"/>
  </w:style>
  <w:style w:type="paragraph" w:styleId="Heading1">
    <w:name w:val="heading 1"/>
    <w:basedOn w:val="Normal"/>
    <w:next w:val="Normal"/>
    <w:link w:val="Heading1Char"/>
    <w:uiPriority w:val="9"/>
    <w:qFormat/>
    <w:rsid w:val="00960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CB2"/>
    <w:rPr>
      <w:rFonts w:eastAsiaTheme="majorEastAsia" w:cstheme="majorBidi"/>
      <w:color w:val="272727" w:themeColor="text1" w:themeTint="D8"/>
    </w:rPr>
  </w:style>
  <w:style w:type="paragraph" w:styleId="Title">
    <w:name w:val="Title"/>
    <w:basedOn w:val="Normal"/>
    <w:next w:val="Normal"/>
    <w:link w:val="TitleChar"/>
    <w:uiPriority w:val="10"/>
    <w:qFormat/>
    <w:rsid w:val="00960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CB2"/>
    <w:pPr>
      <w:spacing w:before="160"/>
      <w:jc w:val="center"/>
    </w:pPr>
    <w:rPr>
      <w:i/>
      <w:iCs/>
      <w:color w:val="404040" w:themeColor="text1" w:themeTint="BF"/>
    </w:rPr>
  </w:style>
  <w:style w:type="character" w:customStyle="1" w:styleId="QuoteChar">
    <w:name w:val="Quote Char"/>
    <w:basedOn w:val="DefaultParagraphFont"/>
    <w:link w:val="Quote"/>
    <w:uiPriority w:val="29"/>
    <w:rsid w:val="00960CB2"/>
    <w:rPr>
      <w:i/>
      <w:iCs/>
      <w:color w:val="404040" w:themeColor="text1" w:themeTint="BF"/>
    </w:rPr>
  </w:style>
  <w:style w:type="paragraph" w:styleId="ListParagraph">
    <w:name w:val="List Paragraph"/>
    <w:basedOn w:val="Normal"/>
    <w:uiPriority w:val="34"/>
    <w:qFormat/>
    <w:rsid w:val="00960CB2"/>
    <w:pPr>
      <w:ind w:left="720"/>
      <w:contextualSpacing/>
    </w:pPr>
  </w:style>
  <w:style w:type="character" w:styleId="IntenseEmphasis">
    <w:name w:val="Intense Emphasis"/>
    <w:basedOn w:val="DefaultParagraphFont"/>
    <w:uiPriority w:val="21"/>
    <w:qFormat/>
    <w:rsid w:val="00960CB2"/>
    <w:rPr>
      <w:i/>
      <w:iCs/>
      <w:color w:val="0F4761" w:themeColor="accent1" w:themeShade="BF"/>
    </w:rPr>
  </w:style>
  <w:style w:type="paragraph" w:styleId="IntenseQuote">
    <w:name w:val="Intense Quote"/>
    <w:basedOn w:val="Normal"/>
    <w:next w:val="Normal"/>
    <w:link w:val="IntenseQuoteChar"/>
    <w:uiPriority w:val="30"/>
    <w:qFormat/>
    <w:rsid w:val="00960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CB2"/>
    <w:rPr>
      <w:i/>
      <w:iCs/>
      <w:color w:val="0F4761" w:themeColor="accent1" w:themeShade="BF"/>
    </w:rPr>
  </w:style>
  <w:style w:type="character" w:styleId="IntenseReference">
    <w:name w:val="Intense Reference"/>
    <w:basedOn w:val="DefaultParagraphFont"/>
    <w:uiPriority w:val="32"/>
    <w:qFormat/>
    <w:rsid w:val="00960CB2"/>
    <w:rPr>
      <w:b/>
      <w:bCs/>
      <w:smallCaps/>
      <w:color w:val="0F4761" w:themeColor="accent1" w:themeShade="BF"/>
      <w:spacing w:val="5"/>
    </w:rPr>
  </w:style>
  <w:style w:type="paragraph" w:styleId="Bibliography">
    <w:name w:val="Bibliography"/>
    <w:basedOn w:val="Normal"/>
    <w:next w:val="Normal"/>
    <w:uiPriority w:val="37"/>
    <w:unhideWhenUsed/>
    <w:rsid w:val="00A06850"/>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02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65E32-52BD-4721-9296-E2F6BDD9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5</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2</cp:revision>
  <dcterms:created xsi:type="dcterms:W3CDTF">2024-12-03T15:45:00Z</dcterms:created>
  <dcterms:modified xsi:type="dcterms:W3CDTF">2024-12-05T13:45:00Z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id="kfLuW8mM"/&gt;&lt;style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