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KitchenSched 项目导航与决策记录</w:t>
      </w:r>
    </w:p>
    <w:p>
      <w:r>
        <w:t>v0.3 · 三部分产品与统一评测增补 · 测试方内部</w:t>
      </w:r>
    </w:p>
    <w:p>
      <w:r>
        <w:rPr>
          <w:b w:val="0"/>
          <w:i w:val="0"/>
        </w:rPr>
        <w:t>KitchenSched 是暂定工作名。这套材料把既有厨房调度需求与本轮新决定合并为可实施规格，不代表模拟器已经完成或难度已经通过实测。主目标只有一个：在统一仿真时间内，最大化完整交付订单的实际交易额。</w:t>
      </w:r>
    </w:p>
    <w:p>
      <w:pPr>
        <w:pStyle w:val="Heading1"/>
      </w:pPr>
      <w:r>
        <w:t>v0.3：当前阅读入口</w:t>
      </w:r>
    </w:p>
    <w:p>
      <w:r>
        <w:t>本轮新增 09 HTML5 游戏与共用动画、10 展示平台与多用户演进、11 统一评测与干净 Harness。它们是产品范围、共享前端、BYOK、安全边界与多用户路线的当前补充。</w:t>
      </w:r>
    </w:p>
    <w:p>
      <w:r>
        <w:t>用户可直接游玩；公开网站与成绩展示进入首版；GitHub 注册、自助 BYOK、个人评测列表与分享分阶段开放。首版可只有站长，但数据归属、凭据隔离和持久队列从第一天建立。</w:t>
      </w:r>
    </w:p>
    <w:p>
      <w:r>
        <w:t>旧版“只读 Viewer”与仅面向单机的范围建议由本轮补充替代。世界规则与控制器协议 0.2.0 不变；HTTP 合并规格升级为 0.3.0-draft。固定提示词为公开草案，pi 仍是候选，运行器与沙箱尚未实现。</w:t>
      </w:r>
    </w:p>
    <w:p>
      <w:r>
        <w:t>请优先读取本轮三份文档及 KitchenSched_Developer_Pack_v0.3.zip。旧版开发包保留为历史快照，不作为当前产品范围。内部完整开发包仍不得直接交给被测模型。</w:t>
      </w:r>
    </w:p>
    <w:p>
      <w:pPr>
        <w:pStyle w:val="Heading1"/>
      </w:pPr>
      <w:r>
        <w:rPr>
          <w:b w:val="0"/>
          <w:i w:val="0"/>
        </w:rPr>
        <w:t>1. 文件夹怎么使用</w:t>
      </w:r>
    </w:p>
    <w:p>
      <w:r>
        <w:rPr>
          <w:b w:val="0"/>
          <w:i w:val="0"/>
        </w:rPr>
        <w:t>根目录存放可在 Google Docs 中打开的 Word 文档；“07 参赛公开材料”存放允许交给模型的规则和空控制器模板；“08 开发规格与示例”存放机器可读接口、语义测试向量与开发包。开发包也收录文档 Markdown 源稿，方便工程代理读取和版本管理。Word 文档用于评审，入库后的版本化源文件用于发布；编辑任一方后应同步并递增版本，不能让两份内容悄悄分叉。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nil" w:sz="4" w:color="D8D8D8"/>
          <w:bottom w:val="single" w:sz="4" w:color="D8D8D8"/>
          <w:right w:val="nil" w:sz="4" w:color="D8D8D8"/>
          <w:insideH w:val="single" w:sz="4" w:color="D8D8D8"/>
          <w:insideV w:val="nil" w:sz="4" w:color="D8D8D8"/>
        </w:tblBorders>
      </w:tblPr>
      <w:tblGrid>
        <w:gridCol w:w="4211"/>
        <w:gridCol w:w="5581"/>
      </w:tblGrid>
      <w:tr>
        <w:trPr>
          <w:cantSplit/>
          <w:tblHeader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/>
                <w:sz w:val="20"/>
              </w:rPr>
              <w:t>文档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/>
                <w:sz w:val="20"/>
              </w:rPr>
              <w:t>解决的问题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01 完整计划与产品需求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做什么、为什么这样评分、三档如何形成差异、首版边界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02 仿真引擎与裁判规则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时间、配方、物料、交付、截止、错误和确定性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03 控制器协议与 SDK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参赛程序如何收发消息、提交动作、处理结果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04 平台 API 与系统架构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程序提交、评测任务、榜单、回放、权限和数据存储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05 评测、公平性与安全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开发预算、重复生成、隐藏用例、失败计分、隔离与发布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06 开发路线图与验收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模块拆分、任务依赖、测试矩阵、发布门槛和风险</w:t>
            </w:r>
          </w:p>
        </w:tc>
      </w:tr>
      <w:tr>
        <w:trPr>
          <w:cantSplit/>
        </w:trPr>
        <w:tc>
          <w:tcPr>
            <w:tcW w:type="dxa" w:w="421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07 参赛公开规则</w:t>
            </w:r>
          </w:p>
        </w:tc>
        <w:tc>
          <w:tcPr>
            <w:tcW w:type="dxa" w:w="5581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只包含目标与机械契约，不包含经营策略、基线或隐藏数据</w:t>
            </w:r>
          </w:p>
        </w:tc>
      </w:tr>
      <w:tr>
        <w:tc>
          <w:tcPr>
            <w:tcW w:type="dxa" w:w="4211"/>
          </w:tcPr>
          <w:p>
            <w:r>
              <w:t>09 HTML5 游戏与共用动画</w:t>
            </w:r>
          </w:p>
        </w:tc>
        <w:tc>
          <w:tcPr>
            <w:tcW w:type="dxa" w:w="5581"/>
          </w:tcPr>
          <w:p>
            <w:r>
              <w:t>人类游玩、程序演示、共享内核与时钟</w:t>
            </w:r>
          </w:p>
        </w:tc>
      </w:tr>
      <w:tr>
        <w:tc>
          <w:tcPr>
            <w:tcW w:type="dxa" w:w="4211"/>
          </w:tcPr>
          <w:p>
            <w:r>
              <w:t>10 展示平台与多用户演进</w:t>
            </w:r>
          </w:p>
        </w:tc>
        <w:tc>
          <w:tcPr>
            <w:tcW w:type="dxa" w:w="5581"/>
          </w:tcPr>
          <w:p>
            <w:r>
              <w:t>公开网站、GitHub/BYOK、列表分享与资源归属</w:t>
            </w:r>
          </w:p>
        </w:tc>
      </w:tr>
      <w:tr>
        <w:tc>
          <w:tcPr>
            <w:tcW w:type="dxa" w:w="4211"/>
          </w:tcPr>
          <w:p>
            <w:r>
              <w:t>11 统一评测与干净 Harness</w:t>
            </w:r>
          </w:p>
        </w:tc>
        <w:tc>
          <w:tcPr>
            <w:tcW w:type="dxa" w:w="5581"/>
          </w:tcPr>
          <w:p>
            <w:r>
              <w:t>固定提示词、pi 候选、双沙箱与可复核方法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  <w:i w:val="0"/>
        </w:rPr>
        <w:t>2. 确定的产品方向</w:t>
      </w:r>
    </w:p>
    <w:p>
      <w:r>
        <w:rPr>
          <w:b w:val="0"/>
          <w:i w:val="0"/>
        </w:rPr>
        <w:t>C01：纯 PVE。每个模型生成的程序拥有独立厨房，在相同用例上运行，不抢夺其他程序的资源。</w:t>
      </w:r>
    </w:p>
    <w:p>
      <w:r>
        <w:rPr>
          <w:b w:val="0"/>
          <w:i w:val="0"/>
        </w:rPr>
        <w:t>C02：主赛道是 LLM 在比赛外写程序。冻结后执行时不再调用模型。未来可复用协议接入直接调度，但不并入当前榜单。</w:t>
      </w:r>
    </w:p>
    <w:p>
      <w:r>
        <w:rPr>
          <w:b w:val="0"/>
          <w:i w:val="0"/>
        </w:rPr>
        <w:t>C03：准备期与营业期属于同一段程序仿真，比例约 1:4。代码开发时间不包含在这个比例里。</w:t>
      </w:r>
    </w:p>
    <w:p>
      <w:r>
        <w:rPr>
          <w:b w:val="0"/>
          <w:i w:val="0"/>
        </w:rPr>
        <w:t>C04：最新评分选择为实际成交总额，而不是出餐数量。有限产能下的订单取舍是测试内容，允许忽略订单。</w:t>
      </w:r>
    </w:p>
    <w:p>
      <w:r>
        <w:rPr>
          <w:b w:val="0"/>
          <w:i w:val="0"/>
        </w:rPr>
        <w:t>C05：难度分简单、中等、复杂三档。复杂度来自工序依赖、共享设备、物料分配与价值选择，不靠增加无关规则。</w:t>
      </w:r>
    </w:p>
    <w:p>
      <w:r>
        <w:rPr>
          <w:b w:val="0"/>
          <w:i w:val="0"/>
        </w:rPr>
        <w:t>C06：不向参赛模型提供经营策略。给足配方、价格、设备能力、时间单位、SDK 和合法性规则；不提供备货、排序、瓶颈或收益密度建议。</w:t>
      </w:r>
    </w:p>
    <w:p>
      <w:r>
        <w:rPr>
          <w:b w:val="0"/>
          <w:i w:val="0"/>
        </w:rPr>
        <w:t>C07：沿用固定顾客到达间隔、随机订单内容的首版方向。没有跑单、投诉、VIP、独立订单超时或动态售价。</w:t>
      </w:r>
    </w:p>
    <w:p>
      <w:pPr>
        <w:pStyle w:val="Heading1"/>
      </w:pPr>
      <w:r>
        <w:rPr>
          <w:b w:val="0"/>
          <w:i w:val="0"/>
        </w:rPr>
        <w:t>3. 本稿补足的工程默认</w:t>
      </w:r>
    </w:p>
    <w:p>
      <w:r>
        <w:rPr>
          <w:b w:val="0"/>
          <w:i w:val="0"/>
        </w:rPr>
        <w:t>以下是为避免实现歧义而提出的 v0.2 默认，不冒充用户逐条确认：整单一次性交付；交付即时，打包通过显式配方表达；原料无限且不扣成本；无仓储上限和保质期；批量在设备上限内固定耗时；代码决策期间世界暂停；截止时先完成加工，再给一次仅交付的决策；致命候选程序错误记官方零分。</w:t>
      </w:r>
    </w:p>
    <w:p>
      <w:r>
        <w:rPr>
          <w:b w:val="0"/>
          <w:i w:val="0"/>
        </w:rPr>
        <w:t>草案协议统一使用 snake_case，protocol_version 为 0.2.0；这是对旧版示意性 camelCase 类型的整理，不承诺与旧草案线协议兼容。HTTP 服务版本和控制器协议分开管理，不能用一个版本号替代所有依赖锁定。</w:t>
      </w:r>
    </w:p>
    <w:p>
      <w:pPr>
        <w:pStyle w:val="Heading1"/>
      </w:pPr>
      <w:r>
        <w:rPr>
          <w:b w:val="0"/>
          <w:i w:val="0"/>
        </w:rPr>
        <w:t>4. 文档冲突如何处理</w:t>
      </w:r>
    </w:p>
    <w:p>
      <w:r>
        <w:rPr>
          <w:b w:val="0"/>
          <w:i w:val="0"/>
        </w:rPr>
        <w:t>最新用户决策优先于旧讨论；产品文档负责目标和范围；02 负责世界语义；03 与 JSON Schema 共同定义线协议；04 与 OpenAPI 共同定义 HTTP 契约。文档与机器规格出现矛盾时阻断发布，不能让实现者自行猜一边正确。修复必须同时更新规格、对应测试和变更记录。</w:t>
      </w:r>
    </w:p>
    <w:p>
      <w:r>
        <w:rPr>
          <w:b w:val="0"/>
          <w:i w:val="0"/>
        </w:rPr>
        <w:t>金额、数量、时间和事件顺序的变更属于影响成绩的变更，必须新建 benchmark_version 并重新评测。SDK 注释修正不一定改变成绩，但仍要记录包哈希。</w:t>
      </w:r>
    </w:p>
    <w:p>
      <w:pPr>
        <w:pStyle w:val="Heading1"/>
      </w:pPr>
      <w:r>
        <w:rPr>
          <w:b w:val="0"/>
          <w:i w:val="0"/>
        </w:rPr>
        <w:t>5. 仍需标定，不阻碍原型开发</w:t>
      </w:r>
    </w:p>
    <w:p>
      <w:r>
        <w:rPr>
          <w:b w:val="0"/>
          <w:i w:val="0"/>
        </w:rPr>
        <w:t>单局 60 秒准备＋240 秒营业只是起始参数。菜单规模、设备数、价格向量、到达间隔、CPU 与内存限制、模型开发预算、隐藏样本数量均需原型跑通后冻结。本包不声称这些参数已被验证为最佳。</w:t>
      </w:r>
    </w:p>
    <w:p>
      <w:r>
        <w:t>第一步完成一个中等厨房共享内核，同时跑通人类可玩和程序回放，再接统一模型生成。公开首版必须有三档可玩页面、效果展示、成绩与固定方法页；开放注册和自助 BYOK 后置。</w:t>
      </w:r>
    </w:p>
    <w:p>
      <w:pPr>
        <w:pStyle w:val="Heading1"/>
      </w:pPr>
      <w:r>
        <w:rPr>
          <w:b w:val="0"/>
          <w:i w:val="0"/>
        </w:rPr>
        <w:t>6. 当前交付的完成边界</w:t>
      </w:r>
    </w:p>
    <w:p>
      <w:r>
        <w:rPr>
          <w:b w:val="0"/>
          <w:i w:val="0"/>
        </w:rPr>
        <w:t>已交付的是计划、接口契约、数据结构、开发任务与测试定义，以及可运行的协议模板和静态校验工具。模拟器、沙箱服务、真实榜单、生产级安全审计和三档区分度实验仍是待开发内容；测试向量不等于引擎已经通过验收。</w:t>
      </w:r>
    </w:p>
    <w:p>
      <w:r>
        <w:rPr>
          <w:b w:val="0"/>
          <w:i w:val="0"/>
        </w:rPr>
        <w:t>机器文件包括 platform.openapi.yaml、controller.schema.json、public-scenario.schema.json、TypeScript 协议类型、Python 空控制器、公开机械示例、内部边界用例和校验脚本。公开包采用文件白名单构建，绝不能把整个内部开发包直接发给模型。</w:t>
      </w:r>
    </w:p>
    <w:p>
      <w:pPr>
        <w:pStyle w:val="Heading1"/>
      </w:pPr>
      <w:r>
        <w:rPr>
          <w:b w:val="0"/>
          <w:i w:val="0"/>
        </w:rPr>
        <w:t>7. 来源与参考边界</w:t>
      </w:r>
    </w:p>
    <w:p>
      <w:r>
        <w:rPr>
          <w:b w:val="0"/>
          <w:i w:val="0"/>
        </w:rPr>
        <w:t>需求来源为历史《KitchenSched_Requirements_v0.1》及本轮对话中的新确认。星际程序对战仅作为“生成程序、练习、冻结、独立验收”的流程灵感；用户所见项目尚未明确，不把某个网站的具体规则当成本项目事实。</w:t>
      </w:r>
    </w:p>
    <w:p>
      <w:r>
        <w:rPr>
          <w:b w:val="0"/>
          <w:i w:val="0"/>
        </w:rPr>
        <w:t>技术契约参考 OpenAPI 3.1.1、JSON Schema Draft 2020-12 和 RFC 9457，选择的是明确版本，而不是声称它们为最新版本。安全设计参考 Docker 官方的 rootless 与 seccomp 文档，但使用容器不等于已证明隔离安全。</w:t>
      </w:r>
    </w:p>
    <w:sectPr w:rsidR="00FC693F" w:rsidRPr="0006063C" w:rsidSect="00034616">
      <w:pgSz w:w="11909" w:h="16834"/>
      <w:pgMar w:top="1037" w:right="1051" w:bottom="103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项目导航与决策记录</dc:title>
  <dc:subject>KitchenSched v0.2 design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