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KitchenSched 完整计划与产品需求</w:t>
      </w:r>
    </w:p>
    <w:p>
      <w:r>
        <w:rPr>
          <w:b w:val="0"/>
          <w:i w:val="0"/>
        </w:rPr>
        <w:t>v0.2 · 开发评审基线 · 测试方内部</w:t>
      </w:r>
    </w:p>
    <w:p>
      <w:pPr>
        <w:pStyle w:val="Heading1"/>
      </w:pPr>
      <w:r>
        <w:rPr>
          <w:b w:val="0"/>
          <w:i w:val="0"/>
        </w:rPr>
        <w:t>1. 产品定义</w:t>
      </w:r>
    </w:p>
    <w:p>
      <w:r>
        <w:rPr>
          <w:b w:val="0"/>
          <w:i w:val="0"/>
        </w:rPr>
        <w:t>让 LLM 根据统一规则编写独立运行的厨房控制程序，再在相同的隐藏订单流、设备与仿真时间下比较实际交易额。场景参考快餐生产的工序关系，但配方、时长、价格均为虚构游戏参数，不宣称复刻真实 KFC 运营。</w:t>
      </w:r>
    </w:p>
    <w:p>
      <w:r>
        <w:rPr>
          <w:b w:val="0"/>
          <w:i w:val="0"/>
        </w:rPr>
        <w:t>核心能力是读懂业务契约、编写正确程序、管理状态、调度并行资源以及在竞争订单之间作价值取舍。这是后端能力的一个可观察切面，不代表完整测量数据库设计、网络协议、安全工程或分布式系统能力。</w:t>
      </w:r>
    </w:p>
    <w:p>
      <w:r>
        <w:rPr>
          <w:b w:val="0"/>
          <w:i w:val="0"/>
        </w:rPr>
        <w:t>评测单位有两层：单个 submission 代表一次冻结的程序；同一 model_config 的多次独立生成代表模型的稳定产出能力。展示和报告必须区分二者。</w:t>
      </w:r>
    </w:p>
    <w:p>
      <w:pPr>
        <w:pStyle w:val="Heading1"/>
      </w:pPr>
      <w:r>
        <w:rPr>
          <w:b w:val="0"/>
          <w:i w:val="0"/>
        </w:rPr>
        <w:t>2. 唯一主评分</w:t>
      </w:r>
    </w:p>
    <w:p>
      <w:r>
        <w:rPr>
          <w:b w:val="0"/>
          <w:i w:val="0"/>
        </w:rPr>
        <w:t>单局 score_minor 等于截止时刻前所有有效、唯一、整单交付的订单金额之和。订单金额为各可售品项的固定单价乘以数量，再求和。所有金额都用整数最小计价单位；界面可显示两位小数，但裁判不得用浮点货币累计。</w:t>
      </w:r>
    </w:p>
    <w:p>
      <w:r>
        <w:rPr>
          <w:b w:val="0"/>
          <w:i w:val="0"/>
        </w:rPr>
        <w:t>制作完成但未出售、半成品、部分订单、无人下单的库存，均不产生交易额。忽略订单合法，没有弃单罚金。首版不扣原料、能源、仓储、模型调用或基础设施费用，因此目标是交易额而非利润。</w:t>
      </w:r>
    </w:p>
    <w:p>
      <w:r>
        <w:rPr>
          <w:b w:val="0"/>
          <w:i w:val="0"/>
        </w:rPr>
        <w:t>出餐件数、完成单数、平均等待、未交付价值、设备利用率、代码开发费用与运行成功率用于解释，不参与主分，也不暗中用于同分排序。同分并列。</w:t>
      </w:r>
    </w:p>
    <w:p>
      <w:r>
        <w:rPr>
          <w:b w:val="0"/>
          <w:i w:val="0"/>
        </w:rPr>
        <w:t>同档在冻结的等权场景与订单用例上统计平均交易额。三档分别排名，不把不同菜谱价格尺度直接相加。综合分暂不进入 MVP；以后若引入固定参考值归一化，必须另行公布公式与参考版本。</w:t>
      </w:r>
    </w:p>
    <w:p>
      <w:pPr>
        <w:pStyle w:val="Heading1"/>
      </w:pPr>
      <w:r>
        <w:rPr>
          <w:b w:val="0"/>
          <w:i w:val="0"/>
        </w:rPr>
        <w:t>3. 一场比赛的完整生命周期</w:t>
      </w:r>
    </w:p>
    <w:p>
      <w:r>
        <w:rPr>
          <w:b w:val="0"/>
          <w:i w:val="0"/>
        </w:rPr>
        <w:t>开发材料准备 → LLM 编写与公开练习 → 冻结代码及依赖 → 为每个用例启动独立进程 → 初始化 → t=0 决策 → 无订单时段 → 持续接收已到达订单 → 全局截止与最终交付 → 裁判复核 → 结果与回放。</w:t>
      </w:r>
    </w:p>
    <w:p>
      <w:r>
        <w:rPr>
          <w:b w:val="0"/>
          <w:i w:val="0"/>
        </w:rPr>
        <w:t>写程序的真实时间、厨房仿真时间和播放器时间彼此独立。初始示例为准备 60,000 ms、营业 240,000 ms；相位切换不重启进程、不清空库存、不停止加工。程序在 t=0 必须获得操作机会，生产 API 不得要求绑定已有订单。</w:t>
      </w:r>
    </w:p>
    <w:p>
      <w:r>
        <w:rPr>
          <w:b w:val="0"/>
          <w:i w:val="0"/>
        </w:rPr>
        <w:t>参赛接口公开当前时间与全局截止，不额外公开开门时刻、PREPARATION 标签、未来客流或“现在应备货”的提示。观众回放可显示准备期，但数据通路与候选进程分离。</w:t>
      </w:r>
    </w:p>
    <w:p>
      <w:pPr>
        <w:pStyle w:val="Heading1"/>
      </w:pPr>
      <w:r>
        <w:rPr>
          <w:b w:val="0"/>
          <w:i w:val="0"/>
        </w:rPr>
        <w:t>4. 难度分层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8D8D8"/>
          <w:left w:val="nil" w:sz="4" w:color="D8D8D8"/>
          <w:bottom w:val="single" w:sz="4" w:color="D8D8D8"/>
          <w:right w:val="nil" w:sz="4" w:color="D8D8D8"/>
          <w:insideH w:val="single" w:sz="4" w:color="D8D8D8"/>
          <w:insideV w:val="nil" w:sz="4" w:color="D8D8D8"/>
        </w:tblBorders>
      </w:tblPr>
      <w:tblGrid>
        <w:gridCol w:w="2154"/>
        <w:gridCol w:w="2546"/>
        <w:gridCol w:w="2546"/>
        <w:gridCol w:w="2546"/>
      </w:tblGrid>
      <w:tr>
        <w:trPr>
          <w:cantSplit/>
          <w:tblHeader/>
        </w:trPr>
        <w:tc>
          <w:tcPr>
            <w:tcW w:type="dxa" w:w="2154"/>
          </w:tcPr>
          <w:p>
            <w:pPr>
              <w:spacing w:after="80" w:before="80"/>
            </w:pPr>
            <w:r>
              <w:rPr>
                <w:b/>
                <w:sz w:val="20"/>
              </w:rPr>
              <w:t>维度</w:t>
            </w:r>
          </w:p>
        </w:tc>
        <w:tc>
          <w:tcPr>
            <w:tcW w:type="dxa" w:w="2546"/>
          </w:tcPr>
          <w:p>
            <w:pPr>
              <w:spacing w:after="80" w:before="80"/>
            </w:pPr>
            <w:r>
              <w:rPr>
                <w:b/>
                <w:sz w:val="20"/>
              </w:rPr>
              <w:t>简单</w:t>
            </w:r>
          </w:p>
        </w:tc>
        <w:tc>
          <w:tcPr>
            <w:tcW w:type="dxa" w:w="2546"/>
          </w:tcPr>
          <w:p>
            <w:pPr>
              <w:spacing w:after="80" w:before="80"/>
            </w:pPr>
            <w:r>
              <w:rPr>
                <w:b/>
                <w:sz w:val="20"/>
              </w:rPr>
              <w:t>中等</w:t>
            </w:r>
          </w:p>
        </w:tc>
        <w:tc>
          <w:tcPr>
            <w:tcW w:type="dxa" w:w="2546"/>
          </w:tcPr>
          <w:p>
            <w:pPr>
              <w:spacing w:after="80" w:before="80"/>
            </w:pPr>
            <w:r>
              <w:rPr>
                <w:b/>
                <w:sz w:val="20"/>
              </w:rPr>
              <w:t>复杂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可售商品起始规模</w:t>
            </w:r>
          </w:p>
        </w:tc>
        <w:tc>
          <w:tcPr>
            <w:tcW w:type="dxa" w:w="2546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4 种</w:t>
            </w:r>
          </w:p>
        </w:tc>
        <w:tc>
          <w:tcPr>
            <w:tcW w:type="dxa" w:w="2546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8 种</w:t>
            </w:r>
          </w:p>
        </w:tc>
        <w:tc>
          <w:tcPr>
            <w:tcW w:type="dxa" w:w="2546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12 种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实体设备起始规模</w:t>
            </w:r>
          </w:p>
        </w:tc>
        <w:tc>
          <w:tcPr>
            <w:tcW w:type="dxa" w:w="2546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4–6 台</w:t>
            </w:r>
          </w:p>
        </w:tc>
        <w:tc>
          <w:tcPr>
            <w:tcW w:type="dxa" w:w="2546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8–10 台</w:t>
            </w:r>
          </w:p>
        </w:tc>
        <w:tc>
          <w:tcPr>
            <w:tcW w:type="dxa" w:w="2546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12–16 台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最长工序链</w:t>
            </w:r>
          </w:p>
        </w:tc>
        <w:tc>
          <w:tcPr>
            <w:tcW w:type="dxa" w:w="2546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2–3 步</w:t>
            </w:r>
          </w:p>
        </w:tc>
        <w:tc>
          <w:tcPr>
            <w:tcW w:type="dxa" w:w="2546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3–5 步</w:t>
            </w:r>
          </w:p>
        </w:tc>
        <w:tc>
          <w:tcPr>
            <w:tcW w:type="dxa" w:w="2546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5–8 步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共享依赖</w:t>
            </w:r>
          </w:p>
        </w:tc>
        <w:tc>
          <w:tcPr>
            <w:tcW w:type="dxa" w:w="2546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少量关键共享</w:t>
            </w:r>
          </w:p>
        </w:tc>
        <w:tc>
          <w:tcPr>
            <w:tcW w:type="dxa" w:w="2546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多商品共用半成品</w:t>
            </w:r>
          </w:p>
        </w:tc>
        <w:tc>
          <w:tcPr>
            <w:tcW w:type="dxa" w:w="2546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多级分流与合流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批量与设备替代</w:t>
            </w:r>
          </w:p>
        </w:tc>
        <w:tc>
          <w:tcPr>
            <w:tcW w:type="dxa" w:w="2546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少量，规则固定</w:t>
            </w:r>
          </w:p>
        </w:tc>
        <w:tc>
          <w:tcPr>
            <w:tcW w:type="dxa" w:w="2546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多批量、少数替代设备</w:t>
            </w:r>
          </w:p>
        </w:tc>
        <w:tc>
          <w:tcPr>
            <w:tcW w:type="dxa" w:w="2546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多设备路线、容量与耗时不同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主要考点</w:t>
            </w:r>
          </w:p>
        </w:tc>
        <w:tc>
          <w:tcPr>
            <w:tcW w:type="dxa" w:w="2546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合法执行、并行、价值选择</w:t>
            </w:r>
          </w:p>
        </w:tc>
        <w:tc>
          <w:tcPr>
            <w:tcW w:type="dxa" w:w="2546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共享资源与整单交付</w:t>
            </w:r>
          </w:p>
        </w:tc>
        <w:tc>
          <w:tcPr>
            <w:tcW w:type="dxa" w:w="2546"/>
          </w:tcPr>
          <w:p>
            <w:pPr>
              <w:spacing w:after="80" w:before="80"/>
            </w:pPr>
            <w:r>
              <w:rPr>
                <w:b w:val="0"/>
                <w:sz w:val="20"/>
              </w:rPr>
              <w:t>持续全局分配与多路径选择</w:t>
            </w:r>
          </w:p>
        </w:tc>
      </w:tr>
    </w:tbl>
    <w:p>
      <w:pPr>
        <w:spacing w:after="0"/>
      </w:pPr>
    </w:p>
    <w:p>
      <w:r>
        <w:rPr>
          <w:b w:val="0"/>
          <w:i w:val="0"/>
        </w:rPr>
        <w:t>以上数值是场景标定起点。每档至少需要设备竞争和商品价值差异，不能让简单档变成只有串行点击的 API 烟测。复杂档不靠员工移动、随机故障或投诉增加难度。</w:t>
      </w:r>
    </w:p>
    <w:p>
      <w:r>
        <w:rPr>
          <w:b w:val="0"/>
          <w:i w:val="0"/>
        </w:rPr>
        <w:t>一个可用于内部设计的中等厨房：鸡肉经腌制、裹粉、油炸形成鸡排；鸡排可进入汉堡或鸡肉卷；面包和饼皮争用加热设备；薯条与鸡排争用炸锅；最终打包有设备容量约束。给模型的是输入、输出、机器、时间和价格，不附上这些关系的优化解说。</w:t>
      </w:r>
    </w:p>
    <w:p>
      <w:pPr>
        <w:pStyle w:val="Heading1"/>
      </w:pPr>
      <w:r>
        <w:rPr>
          <w:b w:val="0"/>
          <w:i w:val="0"/>
        </w:rPr>
        <w:t>5. 价值取舍与价格设计</w:t>
      </w:r>
    </w:p>
    <w:p>
      <w:r>
        <w:rPr>
          <w:b w:val="0"/>
          <w:i w:val="0"/>
        </w:rPr>
        <w:t>价格不能简单与加工时间等比例，也不应让一个商品在几乎所有客流下都压倒其他选择。应同时考察单件高价、关键设备占用、批量产能、共享物料和订单组合。</w:t>
      </w:r>
    </w:p>
    <w:p>
      <w:r>
        <w:rPr>
          <w:b w:val="0"/>
          <w:i w:val="0"/>
        </w:rPr>
        <w:t>这不是要求所有商品都被制作。若某局只做两种商品能取得更高交易额，这就是合法策略。测试方不能用隐藏接单率惩罚把目标偷偷改成“服务所有人”。</w:t>
      </w:r>
    </w:p>
    <w:p>
      <w:r>
        <w:rPr>
          <w:b w:val="0"/>
          <w:i w:val="0"/>
        </w:rPr>
        <w:t>每张订单的价值必须从公开目录计算，不引入秘密倍率或随机折扣。套餐用多品项订单表达；需要额外打包时，以公开配方生成可售包装成品。V1 不加入套餐优惠、最低消费、加价或退款。</w:t>
      </w:r>
    </w:p>
    <w:p>
      <w:r>
        <w:rPr>
          <w:b w:val="0"/>
          <w:i w:val="0"/>
        </w:rPr>
        <w:t>同档各厨房使用统一计价单位并在发布前固定价格尺度。不同场景原始金额平均的含义是这个固定测试套件上的预期交易额，不是跨商业规模的效率比。</w:t>
      </w:r>
    </w:p>
    <w:p>
      <w:pPr>
        <w:pStyle w:val="Heading1"/>
      </w:pPr>
      <w:r>
        <w:rPr>
          <w:b w:val="0"/>
          <w:i w:val="0"/>
        </w:rPr>
        <w:t>6. 订单与需求</w:t>
      </w:r>
    </w:p>
    <w:p>
      <w:r>
        <w:rPr>
          <w:b w:val="0"/>
          <w:i w:val="0"/>
        </w:rPr>
        <w:t>裁判提前生成整条订单轨迹，按固定间隔到达，内容随机。所有提交运行同一用例时看到完全相同的到达时刻、品项、数量与价值。候选程序动作不会改变随机源消耗。</w:t>
      </w:r>
    </w:p>
    <w:p>
      <w:r>
        <w:rPr>
          <w:b w:val="0"/>
          <w:i w:val="0"/>
        </w:rPr>
        <w:t>订单到达后持续保留，直到完整交付或全局截止，没有每单独立超时，也不需要 accept 或 reject 动作。模型可以自行不处理某单。</w:t>
      </w:r>
    </w:p>
    <w:p>
      <w:r>
        <w:rPr>
          <w:b w:val="0"/>
          <w:i w:val="0"/>
        </w:rPr>
        <w:t>未来轨迹、随机种子、需求概率和预测不进入控制器。公开练习中自然观察到的结果可以用于开发；不额外提供需求统计或示范经营解说。多个隐藏订单流降低一次备货选择的运气影响，但不能彻底消除不确定性。</w:t>
      </w:r>
    </w:p>
    <w:p>
      <w:pPr>
        <w:pStyle w:val="Heading1"/>
      </w:pPr>
      <w:r>
        <w:rPr>
          <w:b w:val="0"/>
          <w:i w:val="0"/>
        </w:rPr>
        <w:t>7. 首版范围与非目标</w:t>
      </w:r>
    </w:p>
    <w:p>
      <w:r>
        <w:rPr>
          <w:b w:val="0"/>
          <w:i w:val="0"/>
        </w:rPr>
        <w:t>必须实现：数据驱动配方、有限设备互斥、共享库存、工序依赖、批量加工、替代设备、无订单生产、完整交付、整数记账、确定性事件流、独立代码运行、隐藏用例、三档分榜和只读回放。</w:t>
      </w:r>
    </w:p>
    <w:p>
      <w:r>
        <w:rPr>
          <w:b w:val="0"/>
          <w:i w:val="0"/>
        </w:rPr>
        <w:t>首版排除：实时调用 LLM、运行时联网、人工干预、PVP、动态定价、利润核算、采购物流、顾客耐心、VIP、投诉、退款、随机故障、员工管理、保质期、仓储上限、取消任务、设备预热与换型清洗。后几项可在新协议和新榜单版本中引入，不能悄悄启用。</w:t>
      </w:r>
    </w:p>
    <w:p>
      <w:pPr>
        <w:pStyle w:val="Heading1"/>
      </w:pPr>
      <w:r>
        <w:rPr>
          <w:b w:val="0"/>
          <w:i w:val="0"/>
        </w:rPr>
        <w:t>8. 用户和页面</w:t>
      </w:r>
    </w:p>
    <w:p>
      <w:r>
        <w:rPr>
          <w:b w:val="0"/>
          <w:i w:val="0"/>
        </w:rPr>
        <w:t>测试方创建版本、登记模型开发配置、冻结提交、启动批量评测并发布榜单。开发者阅读公开契约、运行公开练习并查看自己生成的程序记录。观众读取已发布榜单和演示回放。</w:t>
      </w:r>
    </w:p>
    <w:p>
      <w:r>
        <w:rPr>
          <w:b w:val="0"/>
          <w:i w:val="0"/>
        </w:rPr>
        <w:t>首页提供三档分榜、模型配置、平均交易额、区间、运行成功率与开发资源消耗。提交页提供代码哈希、依赖与环境版本、逐局结果和失败状态。回放支持 2–4 间厨房按同一仿真时间并排。</w:t>
      </w:r>
    </w:p>
    <w:p>
      <w:r>
        <w:rPr>
          <w:b w:val="0"/>
          <w:i w:val="0"/>
        </w:rPr>
        <w:t>回放关键对象是设备、物料、待完成订单和收入变化。不得显示伪造的“模型正在思考”；应标注“模型生成的程序运行记录”。不能把播放器倍速当成模型速度。</w:t>
      </w:r>
    </w:p>
    <w:p>
      <w:pPr>
        <w:pStyle w:val="Heading1"/>
      </w:pPr>
      <w:r>
        <w:rPr>
          <w:b w:val="0"/>
          <w:i w:val="0"/>
        </w:rPr>
        <w:t>9. MVP 路径与完成标准</w:t>
      </w:r>
    </w:p>
    <w:p>
      <w:r>
        <w:rPr>
          <w:b w:val="0"/>
          <w:i w:val="0"/>
        </w:rPr>
        <w:t>先用一个中等厨房打通契约、模拟器、隔离宿主、裁判和回放，再裁剪与扩展三档。第一语言优先 Python 候选程序，第二语言 TypeScript 属于后续兼容工作；内核选型是工程默认，非用户已确认。</w:t>
      </w:r>
    </w:p>
    <w:p>
      <w:r>
        <w:rPr>
          <w:b w:val="0"/>
          <w:i w:val="0"/>
        </w:rPr>
        <w:t>MVP 的完成不是“能动起来”：输入不得泄漏未来、物料不能复制、同单不能重复记账、同刻事件与截止结果唯一、致命失败规则一致、回放金额与独立裁判完全相等。</w:t>
      </w:r>
    </w:p>
    <w:p>
      <w:r>
        <w:rPr>
          <w:b w:val="0"/>
          <w:i w:val="0"/>
        </w:rPr>
        <w:t>正式发布还需要冻结模型开发协议、资源参数、三档场景、隐藏样本集合、重复生成次数与统计方法。该过程允许发现简单程序领先，不能以复杂算法是否胜出作为有效性的唯一标准。</w:t>
      </w:r>
    </w:p>
    <w:sectPr w:rsidR="00FC693F" w:rsidRPr="0006063C" w:rsidSect="00034616">
      <w:pgSz w:w="11909" w:h="16834"/>
      <w:pgMar w:top="1037" w:right="1051" w:bottom="1037" w:left="10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80"/>
    </w:pPr>
    <w:rPr>
      <w:rFonts w:ascii="Arial" w:hAnsi="Arial" w:eastAsia="Noto Sans CJK SC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Noto Sans CJK SC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Noto Sans CJK SC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Noto Sans CJK SC"/>
      <w:b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 完整计划与产品需求</dc:title>
  <dc:subject>KitchenSched v0.2 design baseline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