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评测、公平性与安全运行</w:t>
      </w:r>
    </w:p>
    <w:p>
      <w:r>
        <w:rPr>
          <w:b w:val="0"/>
          <w:i w:val="0"/>
        </w:rPr>
        <w:t>v0.2 · 测试方内部 · 不得进入参赛包</w:t>
      </w:r>
    </w:p>
    <w:p>
      <w:pPr>
        <w:pStyle w:val="Heading1"/>
      </w:pPr>
      <w:r>
        <w:rPr>
          <w:b w:val="0"/>
          <w:i w:val="0"/>
        </w:rPr>
        <w:t>1. 评测声明</w:t>
      </w:r>
    </w:p>
    <w:p>
      <w:r>
        <w:rPr>
          <w:b w:val="0"/>
          <w:i w:val="0"/>
        </w:rPr>
        <w:t>主榜衡量“在给定开发条件下，模型能多稳定地产出高交易额调度程序”。它包含 API 理解、代码正确性与优化能力；不测实时推理 TPS、TTFT 或中断重规划。不同模型开发框架或预算的结果必须标记不同 model_config。</w:t>
      </w:r>
    </w:p>
    <w:p>
      <w:r>
        <w:rPr>
          <w:b w:val="0"/>
          <w:i w:val="0"/>
        </w:rPr>
        <w:t>纯 PVE 不需要 Elo。比较条件由 benchmark_version、公开包、场景配置、隐藏轨迹、运行时和资源限制共同决定。不能把不同版本的金额放在同一个无说明总榜。</w:t>
      </w:r>
    </w:p>
    <w:p>
      <w:pPr>
        <w:pStyle w:val="Heading1"/>
      </w:pPr>
      <w:r>
        <w:rPr>
          <w:b w:val="0"/>
          <w:i w:val="0"/>
        </w:rPr>
        <w:t>2. 代码开发协议</w:t>
      </w:r>
    </w:p>
    <w:p>
      <w:r>
        <w:rPr>
          <w:b w:val="0"/>
          <w:i w:val="0"/>
        </w:rPr>
        <w:t>所有模型获得相同目标文本、公开协议、价格和配方、设备规则、语言模板、依赖允许清单以及练习工具。允许在统一预算内编译、运行公开练习、读取自己的机械日志并修改。不给内部基线、优化解释、预测或隐藏用例反馈。</w:t>
      </w:r>
    </w:p>
    <w:p>
      <w:r>
        <w:rPr>
          <w:b w:val="0"/>
          <w:i w:val="0"/>
        </w:rPr>
        <w:t>建议预览版先设一个明确的真实开发时间窗口，例如 60 分钟；这只是待标定实验参数，不是当前任务的工作时长。固定真实时间会包含模型输出速度与工具迭代效率，报告必须承认这一点。需要比较固定 token 或固定轮数时另建赛道，不与主配置混算。</w:t>
      </w:r>
    </w:p>
    <w:p>
      <w:r>
        <w:rPr>
          <w:b w:val="0"/>
          <w:i w:val="0"/>
        </w:rPr>
        <w:t>公开记录时间窗口、最大模型调用次数、token/费用保护上限、工具执行权限、是否允许编译失败修复、最终自动选取最后一次合规提交的规则。不得人工挑选某模型最强中间版本或为某模型增加修复机会。</w:t>
      </w:r>
    </w:p>
    <w:p>
      <w:r>
        <w:rPr>
          <w:b w:val="0"/>
          <w:i w:val="0"/>
        </w:rPr>
        <w:t>开发网络默认受限：可访问模型服务和测试方公开工具，不开放任意外网、外部代码库或其他提交。通用依赖由测试方预置。选择不同网络权限的赛道应独立命名。</w:t>
      </w:r>
    </w:p>
    <w:p>
      <w:pPr>
        <w:pStyle w:val="Heading1"/>
      </w:pPr>
      <w:r>
        <w:rPr>
          <w:b w:val="0"/>
          <w:i w:val="0"/>
        </w:rPr>
        <w:t>3. 独立生成与隐藏运行矩阵</w:t>
      </w:r>
    </w:p>
    <w:p>
      <w:r>
        <w:rPr>
          <w:b w:val="0"/>
          <w:i w:val="0"/>
        </w:rPr>
        <w:t>每个 model_config 至少进行多次独立生成；预览建议 3 次，正式版建议从 5 次起根据波动调整。每次从相同空模板开始，不继承前一轮生成的代码、模型对话或成绩。</w:t>
      </w:r>
    </w:p>
    <w:p>
      <w:r>
        <w:rPr>
          <w:b w:val="0"/>
          <w:i w:val="0"/>
        </w:rPr>
        <w:t>初始矩阵示例为每档 3 个厨房配置，每配置 10 条隐藏订单流，共 90 个用例；一份冻结程序跑全部用例。3 次独立生成合计每模型 270 局。数字属于待标定预算，不是已执行的测试。</w:t>
      </w:r>
    </w:p>
    <w:p>
      <w:r>
        <w:rPr>
          <w:b w:val="0"/>
          <w:i w:val="0"/>
        </w:rPr>
        <w:t>同一份程序复用三档是本稿默认，用于观察配置适应性。隐藏配置只能组合公开支持的规则；每局 init 提供完整合法配方和设备，不突然引入未知机制。若采用固定厨房赛道，应单独注明“不测试新配置泛化”。</w:t>
      </w:r>
    </w:p>
    <w:p>
      <w:r>
        <w:rPr>
          <w:b w:val="0"/>
          <w:i w:val="0"/>
        </w:rPr>
        <w:t>隐藏订单由裁判预生成，与策略随机数独立；内部 case_id、轨迹摘要和种子不进入候选环境变量、文件名、run_token、报错或日志。参赛程序每局清空可写空间，防止跨隐藏用例累积情报。</w:t>
      </w:r>
    </w:p>
    <w:p>
      <w:pPr>
        <w:pStyle w:val="Heading1"/>
      </w:pPr>
      <w:r>
        <w:rPr>
          <w:b w:val="0"/>
          <w:i w:val="0"/>
        </w:rPr>
        <w:t>4. 聚合与不确定性</w:t>
      </w:r>
    </w:p>
    <w:p>
      <w:r>
        <w:rPr>
          <w:b w:val="0"/>
          <w:i w:val="0"/>
        </w:rPr>
        <w:t>设 R(m,g,d,c,s) 为模型 m 第 g 次独立生成在难度 d、厨房 c、订单流 s 上的官方交易额。先对每厨房内等量订单流求均值，再对该档厨房等权平均，再对独立生成等权平均。完整矩阵等权时等价于该档所有单元的算术平均。</w:t>
      </w:r>
    </w:p>
    <w:p>
      <w:r>
        <w:rPr>
          <w:b w:val="0"/>
          <w:i w:val="0"/>
        </w:rPr>
        <w:t>候选失败单元为 0；基础设施错误为缺失，补跑前不发布完整榜单；违规提交按预先公布的排除规则展示。不得静默删除失败程序，也不报告 best-of-N 作为模型主分。</w:t>
      </w:r>
    </w:p>
    <w:p>
      <w:r>
        <w:rPr>
          <w:b w:val="0"/>
          <w:i w:val="0"/>
        </w:rPr>
        <w:t>主要误差区间应以独立生成作为重复单位。对固定测试集，可先求每个 g 的档位均值，再对 g 做 bootstrap；样本很小时区间只能视为初步描述，同时展示每份程序成绩。若声称推广到新厨房和新订单分布，另做按生成、厨房、订单流分层重采样，明确不同估计目标。</w:t>
      </w:r>
    </w:p>
    <w:p>
      <w:r>
        <w:rPr>
          <w:b w:val="0"/>
          <w:i w:val="0"/>
        </w:rPr>
        <w:t>比较模型时保持 case 配对，不把同一份程序在几十个订单流上的表现当作几十次独立模型开发。主分相同并列，区间大量重叠时标注难以可靠区分，不用过多小数制造确定感。</w:t>
      </w:r>
    </w:p>
    <w:p>
      <w:pPr>
        <w:pStyle w:val="Heading1"/>
      </w:pPr>
      <w:r>
        <w:rPr>
          <w:b w:val="0"/>
          <w:i w:val="0"/>
        </w:rPr>
        <w:t>5. 场景标定流程</w:t>
      </w:r>
    </w:p>
    <w:p>
      <w:r>
        <w:rPr>
          <w:b w:val="0"/>
          <w:i w:val="0"/>
        </w:rPr>
        <w:t>内部准备合法 no-op、简单顺序处理、基本并行、按价格工作量选择、考虑共享半成品与整单完成等对照程序。全部基线和优化说明留在内部。</w:t>
      </w:r>
    </w:p>
    <w:p>
      <w:r>
        <w:rPr>
          <w:b w:val="0"/>
          <w:i w:val="0"/>
        </w:rPr>
        <w:t>检查全清订单比例、不同策略交易额差异、设备利用率、商品销售集中度、未交付价值与准备期消融。订单过少会饱和，订单过多可能让单商品策略支配。调参依据是能否形成稳定且可解释的取舍，而不是是否符合某个复杂算法预期。</w:t>
      </w:r>
    </w:p>
    <w:p>
      <w:r>
        <w:rPr>
          <w:b w:val="0"/>
          <w:i w:val="0"/>
        </w:rPr>
        <w:t>准备期消融比较同一程序正常执行与禁止开门前生产的版本，仅用于内部验证。不给准备动作额外分，也不处罚不备货。已知未来订单的参考控制器仅作为异信息参考；没有证明或求解证书不能称为理论最优或上界。</w:t>
      </w:r>
    </w:p>
    <w:p>
      <w:r>
        <w:rPr>
          <w:b w:val="0"/>
          <w:i w:val="0"/>
        </w:rPr>
        <w:t>实际榜单发布前冻结参数；发现机制缺乏区分度后建立下一 benchmark_version，不能在已发布结果上改变价格、失败规则或权重。</w:t>
      </w:r>
    </w:p>
    <w:p>
      <w:pPr>
        <w:pStyle w:val="Heading1"/>
      </w:pPr>
      <w:r>
        <w:rPr>
          <w:b w:val="0"/>
          <w:i w:val="0"/>
        </w:rPr>
        <w:t>6. 安全边界</w:t>
      </w:r>
    </w:p>
    <w:p>
      <w:r>
        <w:rPr>
          <w:b w:val="0"/>
          <w:i w:val="0"/>
        </w:rPr>
        <w:t>候选代码视为不可信。至少采用非特权运行、独立用户与进程命名空间、禁网、只读根文件系统、临时可写空间、无宿主凭证、无容器管理 socket、能力削减、系统调用限制与 CPU/内存/PID/磁盘配额。</w:t>
      </w:r>
    </w:p>
    <w:p>
      <w:r>
        <w:rPr>
          <w:b w:val="0"/>
          <w:i w:val="0"/>
        </w:rPr>
        <w:t>Docker 官方文档将 rootless 描述为降低守护进程和运行时权限风险的方式，将 seccomp 用于限制可用系统调用；本项目采用这些机制作为防御层，而不是据此宣称容器不可逃逸。[S4][S5]</w:t>
      </w:r>
    </w:p>
    <w:p>
      <w:r>
        <w:rPr>
          <w:b w:val="0"/>
          <w:i w:val="0"/>
        </w:rPr>
        <w:t>接受公开不可信提交前应使用专用评测节点，并评估额外隔离层。容器运行时和宿主内核须锁定并维护安全更新；变更影响性能或可执行行为时记录评测版本。不要为了候选兼容而直接使用 privileged 或 seccomp=unconfined。</w:t>
      </w:r>
    </w:p>
    <w:p>
      <w:r>
        <w:rPr>
          <w:b w:val="0"/>
          <w:i w:val="0"/>
        </w:rPr>
        <w:t>安全测试覆盖网络、宿主文件、其他进程、隐藏路径、子进程风暴、大文件、无限输出、压缩炸弹、路径穿越和只读边界。测试方审核正常系统调用失败与实际越界尝试，避免把普通运行错误随意定性为作弊。</w:t>
      </w:r>
    </w:p>
    <w:p>
      <w:pPr>
        <w:pStyle w:val="Heading1"/>
      </w:pPr>
      <w:r>
        <w:rPr>
          <w:b w:val="0"/>
          <w:i w:val="0"/>
        </w:rPr>
        <w:t>7. 故障分类和运维</w:t>
      </w:r>
    </w:p>
    <w:p>
      <w:r>
        <w:rPr>
          <w:b w:val="0"/>
          <w:i w:val="0"/>
        </w:rPr>
        <w:t>候选故障：按规则零分，不重试。基础设施故障：保留失败 attempt，使用相同输入新建干净进程重跑，最多重试次数在 release manifest 固定。超过次数则阻断完整榜发布，不偷换为候选失败。</w:t>
      </w:r>
    </w:p>
    <w:p>
      <w:r>
        <w:rPr>
          <w:b w:val="0"/>
          <w:i w:val="0"/>
        </w:rPr>
        <w:t>异常分数先隔离，不立即公开；复核配方、订单账本、事件 hash 和资源记录。若发现引擎错误影响已发布榜单，冻结展示、公告影响范围、修正规则/引擎版本并对受影响矩阵统一重跑，保留原 snapshot 为历史记录。</w:t>
      </w:r>
    </w:p>
    <w:p>
      <w:r>
        <w:rPr>
          <w:b w:val="0"/>
          <w:i w:val="0"/>
        </w:rPr>
        <w:t>记录必要的模型开发元数据、输入包哈希、代码与镜像摘要、case 集合承诺、官方结果和审计。模型对话与源码默认不公开；保留期限和源码展示授权单独配置，不因用户提交比赛而推定无限公开。</w:t>
      </w:r>
    </w:p>
    <w:p>
      <w:pPr>
        <w:pStyle w:val="Heading1"/>
      </w:pPr>
      <w:r>
        <w:rPr>
          <w:b w:val="0"/>
          <w:i w:val="0"/>
        </w:rPr>
        <w:t>8. 隐藏数据与回放发布</w:t>
      </w:r>
    </w:p>
    <w:p>
      <w:r>
        <w:rPr>
          <w:b w:val="0"/>
          <w:i w:val="0"/>
        </w:rPr>
        <w:t>候选数据、开发工具反馈、观众数据分三条权限路径。完整回放暴露订单序列，不能在继续使用同一隐藏集接受新提交时公开。推荐使用独立演示集；若发布正式回放，该用例应退役或待赛季全部提交冻结。</w:t>
      </w:r>
    </w:p>
    <w:p>
      <w:r>
        <w:rPr>
          <w:b w:val="0"/>
          <w:i w:val="0"/>
        </w:rPr>
        <w:t>公开榜可显示档位统计和失败率，不必展示仍在使用的单局轨迹。不断返回隐藏分数也可能促进针对性适配，应冻结开发后再评估，并限制重复正式提交反馈。</w:t>
      </w:r>
    </w:p>
    <w:p>
      <w:r>
        <w:rPr>
          <w:b w:val="0"/>
          <w:i w:val="0"/>
        </w:rPr>
        <w:t>公开参赛包使用显式白名单构建。发布前人工审核文字、示例、类型注释和文件路径；不能只扫描“seed”一个词就认定不存在泄漏。公开 JSON Schema 不含私有 case 结构。</w:t>
      </w:r>
    </w:p>
    <w:p>
      <w:pPr>
        <w:pStyle w:val="Heading1"/>
      </w:pPr>
      <w:r>
        <w:rPr>
          <w:b w:val="0"/>
          <w:i w:val="0"/>
        </w:rPr>
        <w:t>9. 发布门槛</w:t>
      </w:r>
    </w:p>
    <w:p>
      <w:r>
        <w:rPr>
          <w:b w:val="0"/>
          <w:i w:val="0"/>
        </w:rPr>
        <w:t>规则与 Schema 一致、核心行为验收通过、独立 Judge 一致、同动作轨迹重放确定、沙箱边界测试通过、全部官方矩阵单元齐备、失败分母正确、回放权限隔离且公共包无策略解释，缺一不可。</w:t>
      </w:r>
    </w:p>
    <w:p>
      <w:r>
        <w:rPr>
          <w:b w:val="0"/>
          <w:i w:val="0"/>
        </w:rPr>
        <w:t>对任意候选程序不能保证绝对确定性，因为程序可能使用真实时钟、随机熵或线程调度。引擎必须保证同配置与同动作轨迹产生同世界事件；基准应提供独立 policy_seed、要求可复现策略并记录重复运行差异。发现差异时按预先公布的规则复核，不能把宿主非确定性误归为模型优化。</w:t>
      </w:r>
    </w:p>
    <w:p>
      <w:pPr>
        <w:pStyle w:val="Heading1"/>
      </w:pPr>
      <w:r>
        <w:rPr>
          <w:b w:val="0"/>
          <w:i w:val="0"/>
        </w:rPr>
        <w:t>10. 技术参考</w:t>
      </w:r>
    </w:p>
    <w:p>
      <w:r>
        <w:t>[S4] Docker Rootless mode：</w:t>
      </w:r>
      <w:hyperlink r:id="rId9">
        <w:r>
          <w:t>https://docs.docker.com/engine/security/rootless/</w:t>
        </w:r>
      </w:hyperlink>
    </w:p>
    <w:p>
      <w:r>
        <w:t>[S5] Docker Seccomp security profiles：</w:t>
      </w:r>
      <w:hyperlink r:id="rId10">
        <w:r>
          <w:t>https://docs.docker.com/engine/security/seccomp/</w:t>
        </w:r>
      </w:hyperlink>
    </w:p>
    <w:sectPr w:rsidR="00FC693F" w:rsidRPr="0006063C" w:rsidSect="00034616">
      <w:pgSz w:w="11909" w:h="16834"/>
      <w:pgMar w:top="1037" w:right="1051" w:bottom="103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docker.com/engine/security/rootless/" TargetMode="External"/><Relationship Id="rId10" Type="http://schemas.openxmlformats.org/officeDocument/2006/relationships/hyperlink" Target="https://docs.docker.com/engine/security/secco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评测公平性与安全运行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