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KitchenSched：统一评测与干净 Harness</w:t>
      </w:r>
    </w:p>
    <w:p>
      <w:r>
        <w:t>v0.3 · 第三部分 · 运行契约与固定提示词</w:t>
      </w:r>
    </w:p>
    <w:p>
      <w:pPr>
        <w:pStyle w:val="Heading1"/>
      </w:pPr>
      <w:r>
        <w:t>1. 评测单位不是裸模型名</w:t>
      </w:r>
    </w:p>
    <w:p>
      <w:r>
        <w:t>标准结果绑定模型接入声明、生成方法、预算、提示词包、工具包、运行时、冻结程序和正式测试集。主分仍是固定仿真时间内实际成交总额。生成代码的预算与厨房约 1:4 的准备/营业仿真预算互不混用。</w:t>
      </w:r>
    </w:p>
    <w:p>
      <w:r>
        <w:t>用户提供模型连接并选择可用模型；平台在统一环境中让模型写控制器，可以在预算内运行公开练习并修改；之后冻结产物，在另一干净环境运行正式 PVE。正式执行没有 LLM 调用、没有人工补丁，也不把隐藏结果反馈给生成阶段。</w:t>
      </w:r>
    </w:p>
    <w:p>
      <w:r>
        <w:t>pi 是优先验证的候选，不是已定版依赖。官方文档提供 SDK/RPC 接入、工具选择和系统提示词覆写，足以支持这种嵌入式集成。[H1][H2] 是否采用以及锁定哪个 commit，需要工程烟测后决定。</w:t>
      </w:r>
    </w:p>
    <w:p>
      <w:pPr>
        <w:pStyle w:val="Heading1"/>
      </w:pPr>
      <w:r>
        <w:t>2. 两个沙箱与一个可信控制面</w:t>
      </w:r>
    </w:p>
    <w:p>
      <w:r>
        <w:t>可信控制面包含任务编排、PiAdapter、模型网关、凭据服务和日志审计。模型推理请求从这个边界发出。模型产生的 read/write/edit/bash 调用经工具执行通道进入本次隔离工作区，不在控制面进程里直接执行。</w:t>
      </w:r>
    </w:p>
    <w:p>
      <w:r>
        <w:t>生成沙箱每次独立生成从只读镜像启动，挂载同一公开包、同一空模板和空白可写工作区。允许编辑源码、运行已安装工具和公开练习；不含密钥、隐藏用例、其他提交、宿主 home 或历史会话。工具执行器不能获得控制面与模型网关网络能力。</w:t>
      </w:r>
    </w:p>
    <w:p>
      <w:r>
        <w:t>正式执行沙箱只获得冻结程序、固定运行时和控制器通信通道。无网络、无凭据、无模型工具。隐藏用例在候选边界之外由裁判/Host 持有，只逐步发送允许观察的状态。公开练习也使用新进程/隔离执行，不能污染下一次测试。</w:t>
      </w:r>
    </w:p>
    <w:p>
      <w:r>
        <w:t>仅设置工作目录不是隔离；默认本地 bash 不能直接挂到生产服务。可评估 gVisor 或微虚拟机边界，并配合只读根、非特权、无容器 socket、进程/CPU/内存/磁盘限制。gVisor 将应用系统调用交给用户态内核处理，但本项目仍需验证兼容性与整个部署边界。[H3]</w:t>
      </w:r>
    </w:p>
    <w:p>
      <w:pPr>
        <w:pStyle w:val="Heading1"/>
      </w:pPr>
      <w:r>
        <w:t>3. “干净”必须是一份可核对的清单</w:t>
      </w:r>
    </w:p>
    <w:p>
      <w:r>
        <w:t>每次新建 HOME、工作区、临时目录和 session；禁止恢复历史。固定公开材料按哈希挂载；没有个人 AGENTS.md、Skills、扩展、提示词模板、MCP、其他模型或隐藏建议。</w:t>
      </w:r>
    </w:p>
    <w:p>
      <w:r>
        <w:t>Pi 默认资源发现会读取项目与用户目录中的上下文、扩展和 Skills。只替换 system prompt 并不能自动移除这些来源，应由显式 ResourceLoader 白名单与空目录共同控制，并验证实际生效内容。[H1][H2]</w:t>
      </w:r>
    </w:p>
    <w:p>
      <w:r>
        <w:t>模型写出的 .pi、AGENTS.md 或 SYSTEM.md 只作为普通输出文件，不触发 reload 或新指令加载。每次调用前验证工具集合与固定提示词未变。宿主升级、镜像更新和依赖变动必须生成新方法版本，不跟随 latest 自动变化。</w:t>
      </w:r>
    </w:p>
    <w:p>
      <w:r>
        <w:t>工具第一版只保留 read、write、edit、bash 四类能力。它们操作生成沙箱，不操作宿主。公开练习通过固定 CLI 暴露机械结果与日志，不提供解法、经营评分建议或参考控制器。</w:t>
      </w:r>
    </w:p>
    <w:p>
      <w:r>
        <w:t>默认禁用自动压缩、模型 fallback、子代理和人工 steering。达到上下文或开发预算边界时按公开规则结束并冻结已有产物；没有合法产物则生成失败。未来启用压缩必须公布其提示词、触发规则、预算和摘要模型，并作为另一方法版本。</w:t>
      </w:r>
    </w:p>
    <w:p>
      <w:pPr>
        <w:pStyle w:val="Heading1"/>
      </w:pPr>
      <w:r>
        <w:t>4. 网站应展示什么</w:t>
      </w:r>
    </w:p>
    <w:p>
      <w:r>
        <w:t>公开方法页展示固定系统提示词、固定任务提示词、完整工具名/说明/JSON Schema、公开包文件清单与哈希、运行镜像与 harness 锁定版本、预算、重试/截断/终止规则、适配器版本。</w:t>
      </w:r>
    </w:p>
    <w:p>
      <w:r>
        <w:t>不能只展示短 user prompt，却保留未披露的默认 system prompt、工具建议或压缩指令。标准实验不允许用户添加额外提示词；将来开放自定义提示词，应单列实验赛道。</w:t>
      </w:r>
    </w:p>
    <w:p>
      <w:r>
        <w:t>供应商协议不同，线上请求字节不一定相同。平台保证的是公开的逻辑消息与工具语义一致，记录适配映射和实际参数，不虚称跨供应商逐字节一致或控制供应商内部系统提示词。</w:t>
      </w:r>
    </w:p>
    <w:p>
      <w:r>
        <w:t>每次实验保留脱敏的有效输入清单与请求审计。API key、认证头、租户私有路径不展示。提供商返回的可见文本/工具调用可以另行授权展示；不要求或编造模型内部思维链，未返回的推理内容没有可供审计的原文。</w:t>
      </w:r>
    </w:p>
    <w:p>
      <w:pPr>
        <w:pStyle w:val="Heading1"/>
      </w:pPr>
      <w:r>
        <w:t>5. 固定提示词候选正文</w:t>
      </w:r>
    </w:p>
    <w:p>
      <w:pPr>
        <w:pStyle w:val="Heading2"/>
      </w:pPr>
      <w:r>
        <w:t>系统提示词</w:t>
      </w:r>
    </w:p>
    <w:p>
      <w:r>
        <w:t>你是一个编程代理。请使用提供的工具完成用户任务，以指定工作目录中的文件作为最终交付结果。</w:t>
      </w:r>
    </w:p>
    <w:p>
      <w:pPr>
        <w:pStyle w:val="Heading2"/>
      </w:pPr>
      <w:r>
        <w:t>任务提示词</w:t>
      </w:r>
    </w:p>
    <w:p>
      <w:r>
        <w:t>请实现一个 KitchenSched 控制程序，使其在规定的仿真时间内，通过合法完整交付订单取得尽可能高的交易总额。</w:t>
      </w:r>
    </w:p>
    <w:p>
      <w:r>
        <w:t>任务规则、控制器协议、提交格式和开发限制位于 /opt/bench/public/。请阅读其中的 README.md、RULES.md、controller.schema.json、submission.schema.json 和 DEVELOPMENT_LIMITS.json。</w:t>
      </w:r>
    </w:p>
    <w:p>
      <w:r>
        <w:t>你可以使用本次提供的工具编写程序，并运行公开练习。最终提交位于 /workspace/submission/，其根目录必须包含 submission.json 及所需代码。</w:t>
      </w:r>
    </w:p>
    <w:p>
      <w:r>
        <w:t>正式评测只运行冻结后的文件。最终回复中的说明不替代程序提交。</w:t>
      </w:r>
    </w:p>
    <w:p>
      <w:r>
        <w:t>以上两段分别保存于 prompts/system.txt 与 prompts/task.txt，作为候选固定正文。机械规则包含价格、配方、合法动作、预算和错误；正文不加入备货、订单排序、价值密度或瓶颈分析提示。发布前补齐真实环境参数并冻结材料，不能把草案当已经生产验证的方法。</w:t>
      </w:r>
    </w:p>
    <w:p>
      <w:pPr>
        <w:pStyle w:val="Heading1"/>
      </w:pPr>
      <w:r>
        <w:t>6. 固定开发流程</w:t>
      </w:r>
    </w:p>
    <w:p>
      <w:r>
        <w:t>连接预检 → 冻结实验配置 → 领取生成槽位 → 创建干净工作区 → 注入同一提示词/公开包 → 模型开发与练习 → 结束或达到预算 → 冻结代码 → 校验提交 → 正式执行矩阵 → 独立裁判核对 → 聚合 → 发布授权投影。</w:t>
      </w:r>
    </w:p>
    <w:p>
      <w:r>
        <w:t>队列等待不计入开发预算；第一次模型请求开始即启动开发时钟。正常供应商等待、限流重试、工具执行和公开练习时间计入统一开发时钟。平台自身故障分开标记，不把服务故障当模型调度失败。</w:t>
      </w:r>
    </w:p>
    <w:p>
      <w:r>
        <w:t>重试不能不断换解法直到成功。网络瞬时失败采用冻结的有界传输重试，记录全部尝试；模型生成失败保留在实验统计里。需重新生成时产生新 generation_attempt，并按固定重复规则处理，不覆盖之前失败。</w:t>
      </w:r>
    </w:p>
    <w:p>
      <w:r>
        <w:t>模型调用不存在通用的“绝不重复计费”保证。进程崩溃后无法确定某次请求是否已经被供应商计费时，记录未知结算状态，不把这类风险用一句幂等宣称抹掉。候选冻结与成绩写入仍必须做到平台侧至多一次有效提交。</w:t>
      </w:r>
    </w:p>
    <w:p>
      <w:pPr>
        <w:pStyle w:val="Heading1"/>
      </w:pPr>
      <w:r>
        <w:t>7. 预算与公平性</w:t>
      </w:r>
    </w:p>
    <w:p>
      <w:r>
        <w:t>统一方法同时冻结开发墙钟预算、工具资源、模型输出上限、调用次数、公开练习范围、上下文/截断政策和候选执行资源。原型可继续使用旧稿一小时开发窗口的候选参数，但必须实测后才发布，不能把它当本轮新批准的最终值。</w:t>
      </w:r>
    </w:p>
    <w:p>
      <w:r>
        <w:t>固定墙钟方法本来就包含模型生成速度和供应商延迟的影响，页面应明确这是给定时间内的程序开发效果。供应商的 token 口径与 reasoning 参数不同，不宣称相同数字就代表相同内部计算量；保存实际设置与支持情况，禁止静默降级。</w:t>
      </w:r>
    </w:p>
    <w:p>
      <w:r>
        <w:t>每个模型独立生成多份通用控制器，每份运行统一三档矩阵。可以只展示一次实验，但官方模型统计不挑最好的一份。生成失败作为规定重复槽位的零分贡献；待补的基础设施故障保持 null 并阻断正式汇总。该处理与 v0.2 的 candidate_failed / infra_failed 区分一致。</w:t>
      </w:r>
    </w:p>
    <w:p>
      <w:r>
        <w:t>CPU 和内存限额约束候选程序，墙钟超时也要防止机器过载制造误杀。执行槽位受控，记录宿主负载；基础设施未达约定条件时标记 infra_failed 并统一补跑，不给特定模型临时放宽预算。</w:t>
      </w:r>
    </w:p>
    <w:p>
      <w:pPr>
        <w:pStyle w:val="Heading1"/>
      </w:pPr>
      <w:r>
        <w:t>8. Harness 适配边界</w:t>
      </w:r>
    </w:p>
    <w:p>
      <w:r>
        <w:t>HarnessAdapter 提供 startGeneration、streamEvents、cancelGeneration 与 collectArtifacts。入参是不可变 method manifest、模型连接句柄、工作区句柄和预算，不是任意宿主命令。API key 不出现在事件流或适配器传给候选的环境中。</w:t>
      </w:r>
    </w:p>
    <w:p>
      <w:r>
        <w:t>PiAdapter 负责固定会话、模型适配、有效输入收集与工具转发。SandboxExecutor 负责文件/命令边界。ModelGateway 负责受限出站与凭据。三者不以同一个“万能 token”相互调用。</w:t>
      </w:r>
    </w:p>
    <w:p>
      <w:r>
        <w:t>部署初期可以只有一个 Worker，但每项运行都使用独立资源句柄和短期能力。未来换 harness 仅新增适配器与方法版本，不改厨房动作协议、动画或已有成绩。</w:t>
      </w:r>
    </w:p>
    <w:p>
      <w:pPr>
        <w:pStyle w:val="Heading1"/>
      </w:pPr>
      <w:r>
        <w:t>9. 集成验收</w:t>
      </w:r>
    </w:p>
    <w:p>
      <w:r>
        <w:t>H01：两次独立生成看不到彼此文件；H02：恶意 AGENTS.md 不进入有效系统提示词；H03：四类工具只能访问本次沙箱；H04：候选读不到 key、宿主环境和隐藏用例；H05：候选不能调用模型网关。</w:t>
      </w:r>
    </w:p>
    <w:p>
      <w:r>
        <w:t>H06：网站展示内容与实际发送的固定提示词/工具哈希相符；H07：标准方法不能通过用户 API 注入额外 system prompt；H08：模型不兼容明确失败，不静默切换模型；H09：正式执行完全离线；H10：代码、方法或镜像变更产生新结果标识。</w:t>
      </w:r>
    </w:p>
    <w:p>
      <w:r>
        <w:t>H11：生成失败不被重复采样掩盖；H12：取消清理模型流、工具子进程、工作区和临时凭据；H13：隐藏结果不回流生成工作区；H14：未知调用费用显式标注；H15：公开多用户前通过越权、SSRF 和资源滥用测试。</w:t>
      </w:r>
    </w:p>
    <w:p>
      <w:r>
        <w:t>本包包含方法草案、接口与校验定义；没有实现 PiAdapter、沙箱、模型网关或真实统一评测，也未完成生产安全验证。</w:t>
      </w:r>
    </w:p>
    <w:p>
      <w:pPr>
        <w:pStyle w:val="Heading1"/>
      </w:pPr>
      <w:r>
        <w:t>技术资料</w:t>
      </w:r>
    </w:p>
    <w:p>
      <w:r>
        <w:t>[H1] Pi 官方主页，功能与上下文来源。</w:t>
      </w:r>
      <w:hyperlink r:id="rId9">
        <w:r>
          <w:rPr>
            <w:u w:val="single"/>
          </w:rPr>
          <w:t>查看原始资料</w:t>
        </w:r>
      </w:hyperlink>
    </w:p>
    <w:p>
      <w:r>
        <w:t>[H2] Pi 官方 SDK 文档，ResourceLoader、工具选择与会话生命周期。</w:t>
      </w:r>
      <w:hyperlink r:id="rId10">
        <w:r>
          <w:rPr>
            <w:u w:val="single"/>
          </w:rPr>
          <w:t>查看原始资料</w:t>
        </w:r>
      </w:hyperlink>
    </w:p>
    <w:p>
      <w:r>
        <w:t>[H3] gVisor 官方架构说明。</w:t>
      </w:r>
      <w:hyperlink r:id="rId11">
        <w:r>
          <w:rPr>
            <w:u w:val="single"/>
          </w:rPr>
          <w:t>查看原始资料</w:t>
        </w:r>
      </w:hyperlink>
    </w:p>
    <w:sectPr w:rsidR="00FC693F" w:rsidRPr="0006063C" w:rsidSect="00034616"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1" w:lineRule="auto"/>
    </w:pPr>
    <w:rPr>
      <w:rFonts w:ascii="Arial" w:hAnsi="Arial" w:eastAsia="Noto Sans CJK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i.dev/" TargetMode="External"/><Relationship Id="rId10" Type="http://schemas.openxmlformats.org/officeDocument/2006/relationships/hyperlink" Target="https://github.com/earendil-works/pi/blob/main/packages/coding-agent/docs/sdk.md" TargetMode="External"/><Relationship Id="rId11" Type="http://schemas.openxmlformats.org/officeDocument/2006/relationships/hyperlink" Target="https://gvisor.dev/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 统一评测与干净Harness</dc:title>
  <dc:subject>KitchenSched v0.3 design specification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