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2134D0">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2134D0">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2134D0">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134D0">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134D0">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134D0">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2134D0">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134D0">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134D0">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134D0">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2134D0">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2134D0">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P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A74B2C" w:rsidRDefault="00A74B2C">
      <w:pPr>
        <w:rPr>
          <w:rFonts w:ascii="Trebuchet MS" w:hAnsi="Trebuchet MS"/>
          <w:sz w:val="20"/>
          <w:szCs w:val="20"/>
        </w:rPr>
      </w:pP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0709D5" w:rsidRPr="00F10C2D" w:rsidRDefault="000709D5" w:rsidP="00686B3C">
      <w:pPr>
        <w:pStyle w:val="Standard1"/>
        <w:ind w:left="1080"/>
      </w:pPr>
    </w:p>
    <w:p w:rsidR="000709D5" w:rsidRPr="000709D5" w:rsidRDefault="00242885" w:rsidP="00A153B9">
      <w:pPr>
        <w:pStyle w:val="Heading2"/>
      </w:pPr>
      <w:bookmarkStart w:id="24" w:name="_Toc280189035"/>
      <w:r>
        <w:t>Configuration</w:t>
      </w:r>
      <w:bookmarkEnd w:id="24"/>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36700C" w:rsidP="0036700C">
      <w:pPr>
        <w:pStyle w:val="Heading2"/>
      </w:pPr>
      <w:bookmarkStart w:id="25" w:name="_Toc280189036"/>
      <w:r>
        <w:t>Custom Code</w:t>
      </w:r>
      <w:bookmarkEnd w:id="25"/>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w:t>
      </w:r>
      <w:r w:rsidRPr="00675AF5">
        <w:rPr>
          <w:rFonts w:ascii="Tahoma" w:hAnsi="Tahoma" w:cs="Tahoma"/>
          <w:sz w:val="18"/>
          <w:szCs w:val="18"/>
        </w:rPr>
        <w:t>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lastRenderedPageBreak/>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697" cy="5010197"/>
                    </a:xfrm>
                    <a:prstGeom prst="rect">
                      <a:avLst/>
                    </a:prstGeom>
                  </pic:spPr>
                </pic:pic>
              </a:graphicData>
            </a:graphic>
          </wp:inline>
        </w:drawing>
      </w:r>
    </w:p>
    <w:p w:rsidR="001D0463" w:rsidRPr="001D0463" w:rsidRDefault="001D0463" w:rsidP="001D0463">
      <w:pPr>
        <w:autoSpaceDE w:val="0"/>
        <w:autoSpaceDN w:val="0"/>
        <w:adjustRightInd w:val="0"/>
        <w:spacing w:after="0" w:line="240" w:lineRule="auto"/>
        <w:ind w:left="1080"/>
        <w:rPr>
          <w:rStyle w:val="StyleCOdeChar"/>
          <w:rFonts w:eastAsiaTheme="minorEastAsia"/>
        </w:rPr>
      </w:pP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5375" cy="3341028"/>
                    </a:xfrm>
                    <a:prstGeom prst="rect">
                      <a:avLst/>
                    </a:prstGeom>
                  </pic:spPr>
                </pic:pic>
              </a:graphicData>
            </a:graphic>
          </wp:inline>
        </w:drawing>
      </w:r>
      <w:bookmarkStart w:id="26" w:name="_GoBack"/>
      <w:bookmarkEnd w:id="26"/>
    </w:p>
    <w:p w:rsidR="00675AF5" w:rsidRPr="00675AF5" w:rsidRDefault="00675AF5" w:rsidP="00675AF5">
      <w:pPr>
        <w:ind w:left="1080"/>
        <w:rPr>
          <w:rFonts w:ascii="Tahoma" w:hAnsi="Tahoma" w:cs="Tahoma"/>
          <w:sz w:val="18"/>
          <w:szCs w:val="18"/>
        </w:rPr>
      </w:pPr>
    </w:p>
    <w:p w:rsidR="00675AF5" w:rsidRPr="00675AF5" w:rsidRDefault="00675AF5" w:rsidP="00675AF5">
      <w:pPr>
        <w:ind w:left="708"/>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7" w:name="_Toc280189037"/>
      <w:r>
        <w:t>External Interfaces</w:t>
      </w:r>
      <w:bookmarkEnd w:id="27"/>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28" w:name="_Toc280189038"/>
      <w:r>
        <w:t>Testing</w:t>
      </w:r>
      <w:bookmarkEnd w:id="28"/>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29" w:name="_Toc280189039"/>
      <w:bookmarkStart w:id="30" w:name="_Toc245264376"/>
      <w:bookmarkEnd w:id="18"/>
      <w:r>
        <w:lastRenderedPageBreak/>
        <w:t>Operations, Maintenance</w:t>
      </w:r>
      <w:bookmarkEnd w:id="29"/>
    </w:p>
    <w:p w:rsidR="003E41E2" w:rsidRPr="003E41E2" w:rsidRDefault="003E41E2" w:rsidP="003E41E2"/>
    <w:p w:rsidR="00D11851" w:rsidRPr="00F10C2D" w:rsidRDefault="002941A4" w:rsidP="003E41E2">
      <w:pPr>
        <w:pStyle w:val="Heading2"/>
      </w:pPr>
      <w:bookmarkStart w:id="31" w:name="_Toc280189040"/>
      <w:r>
        <w:t>Data Storage</w:t>
      </w:r>
      <w:bookmarkEnd w:id="31"/>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2" w:name="_Toc280189041"/>
      <w:r>
        <w:t>Availability</w:t>
      </w:r>
      <w:bookmarkEnd w:id="32"/>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3" w:name="_Toc280189042"/>
      <w:r>
        <w:t>Support</w:t>
      </w:r>
      <w:bookmarkEnd w:id="33"/>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rsidR="00D3375A" w:rsidRDefault="00915C7A" w:rsidP="002E5526">
      <w:pPr>
        <w:pStyle w:val="Heading1"/>
      </w:pPr>
      <w:bookmarkStart w:id="36" w:name="_Toc280189043"/>
      <w:bookmarkEnd w:id="34"/>
      <w:bookmarkEnd w:id="35"/>
      <w:r>
        <w:lastRenderedPageBreak/>
        <w:t>User Guide</w:t>
      </w:r>
      <w:bookmarkEnd w:id="36"/>
    </w:p>
    <w:p w:rsidR="00156710" w:rsidRDefault="00156710" w:rsidP="00EB47BC">
      <w:pPr>
        <w:pStyle w:val="dmcFlietext"/>
        <w:ind w:left="1416"/>
      </w:pPr>
    </w:p>
    <w:p w:rsidR="00D11851" w:rsidRDefault="00915C7A" w:rsidP="002F47B5">
      <w:pPr>
        <w:pStyle w:val="Heading2"/>
      </w:pPr>
      <w:bookmarkStart w:id="37" w:name="_Toc280189044"/>
      <w:r>
        <w:t>Roles, Responsibilities</w:t>
      </w:r>
      <w:bookmarkEnd w:id="37"/>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38" w:name="_Toc280189045"/>
      <w:bookmarkStart w:id="39" w:name="_Toc265049819"/>
      <w:r>
        <w:t>Business Manager</w:t>
      </w:r>
      <w:bookmarkEnd w:id="38"/>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0" w:name="_Toc279703497"/>
      <w:bookmarkStart w:id="41" w:name="_Toc279703590"/>
      <w:bookmarkEnd w:id="39"/>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2" w:name="_Toc280189046"/>
      <w:r>
        <w:t>Storefront Functionality</w:t>
      </w:r>
      <w:bookmarkEnd w:id="42"/>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3" w:name="_Toc280189047"/>
      <w:bookmarkEnd w:id="40"/>
      <w:bookmarkEnd w:id="41"/>
      <w:r>
        <w:lastRenderedPageBreak/>
        <w:t>Known Issues</w:t>
      </w:r>
      <w:bookmarkEnd w:id="43"/>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4" w:name="_Toc279703500"/>
      <w:bookmarkStart w:id="45"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6" w:name="_Toc280189048"/>
      <w:bookmarkEnd w:id="44"/>
      <w:bookmarkEnd w:id="45"/>
      <w:r>
        <w:lastRenderedPageBreak/>
        <w:t>Release History</w:t>
      </w:r>
      <w:bookmarkEnd w:id="46"/>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7" w:name="_Toc279703501"/>
      <w:bookmarkStart w:id="48"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4D0" w:rsidRDefault="002134D0">
      <w:pPr>
        <w:spacing w:line="240" w:lineRule="auto"/>
      </w:pPr>
      <w:r>
        <w:separator/>
      </w:r>
    </w:p>
  </w:endnote>
  <w:endnote w:type="continuationSeparator" w:id="0">
    <w:p w:rsidR="002134D0" w:rsidRDefault="00213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1D0463">
            <w:rPr>
              <w:rFonts w:ascii="Consolas" w:hAnsi="Consolas" w:cs="Arial"/>
              <w:noProof/>
              <w:sz w:val="18"/>
              <w:szCs w:val="18"/>
            </w:rPr>
            <w:t>3-6</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4D0" w:rsidRDefault="002134D0">
      <w:pPr>
        <w:spacing w:line="240" w:lineRule="auto"/>
      </w:pPr>
      <w:r>
        <w:separator/>
      </w:r>
    </w:p>
  </w:footnote>
  <w:footnote w:type="continuationSeparator" w:id="0">
    <w:p w:rsidR="002134D0" w:rsidRDefault="002134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8"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6"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5"/>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4"/>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3"/>
  </w:num>
  <w:num w:numId="27">
    <w:abstractNumId w:val="5"/>
  </w:num>
  <w:num w:numId="28">
    <w:abstractNumId w:val="15"/>
  </w:num>
  <w:num w:numId="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0B01"/>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E88BB8-0D66-4187-9027-DDF197D87884}">
  <ds:schemaRefs>
    <ds:schemaRef ds:uri="http://schemas.openxmlformats.org/officeDocument/2006/bibliography"/>
  </ds:schemaRefs>
</ds:datastoreItem>
</file>

<file path=customXml/itemProps2.xml><?xml version="1.0" encoding="utf-8"?>
<ds:datastoreItem xmlns:ds="http://schemas.openxmlformats.org/officeDocument/2006/customXml" ds:itemID="{35096AEA-7607-4993-ADC4-1D26D2E3A3E5}">
  <ds:schemaRefs>
    <ds:schemaRef ds:uri="http://schemas.openxmlformats.org/officeDocument/2006/bibliography"/>
  </ds:schemaRefs>
</ds:datastoreItem>
</file>

<file path=customXml/itemProps3.xml><?xml version="1.0" encoding="utf-8"?>
<ds:datastoreItem xmlns:ds="http://schemas.openxmlformats.org/officeDocument/2006/customXml" ds:itemID="{18E7784B-AE51-41CA-A40C-10BF850D42AE}">
  <ds:schemaRefs>
    <ds:schemaRef ds:uri="http://schemas.openxmlformats.org/officeDocument/2006/bibliography"/>
  </ds:schemaRefs>
</ds:datastoreItem>
</file>

<file path=customXml/itemProps4.xml><?xml version="1.0" encoding="utf-8"?>
<ds:datastoreItem xmlns:ds="http://schemas.openxmlformats.org/officeDocument/2006/customXml" ds:itemID="{C2F266DB-7125-4632-AC40-12831D6A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1114</Words>
  <Characters>6350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7450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Lenovo</cp:lastModifiedBy>
  <cp:revision>7</cp:revision>
  <cp:lastPrinted>2011-05-09T17:50:00Z</cp:lastPrinted>
  <dcterms:created xsi:type="dcterms:W3CDTF">2011-05-09T17:50:00Z</dcterms:created>
  <dcterms:modified xsi:type="dcterms:W3CDTF">2017-03-14T09:14:00Z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