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Följande fridlysta arter har sina livsmiljöer och växtplatser i den avverkningsanmälda skogen: talltita (NT, §4).</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