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Följande fridlysta arter har sina livsmiljöer och växtplatser i den avverkningsanmälda skogen: tretåig hackspett (NT, §4) och fläcknycklar (§8).</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