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Följande fridlysta arter har sina livsmiljöer och växtplatser i den avverkningsanmälda skogen: skogsfru (NT, §8) och 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