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Nedan presenteras fynd av naturvårdsarter och fridlysta arter som gjorts i det avverkningsanmälda området, samt relevanta utdrag ur standarderna för FSC och PEFC.</w:t>
      </w:r>
    </w:p>
    <w:p>
      <w:pPr>
        <w:pStyle w:val="Heading1"/>
      </w:pPr>
      <w:r>
        <w:t>Naturvårdsarter</w:t>
      </w:r>
    </w:p>
    <w:p>
      <w:r>
        <w:t>I avverkningsanmälan har följande 6 naturvårdsarter hittats: grynig filtlav (NT), lunglav (NT), skogsfru (NT, §8), slåtterfibbla (NT), vårärt (S) och skogsrör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30683-2023 karta.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