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Följande fridlysta arter har sina livsmiljöer och växtplatser i den avverkningsanmälda skogen: .</w:t>
      </w:r>
      <w:r>
        <w:t xml:space="preserve"> I BILAGA 1 finns information om ekologi samt krav på livsmiljö hos fridlysta arter.</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