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30840-2023 i Ånge kommun</w:t>
      </w:r>
    </w:p>
    <w:p>
      <w:r>
        <w:t>Detta dokument behandlar höga naturvärden i avverkningsamälan A 30840-2023 i Ånge kommun. Denna avverkningsanmälan inkom 2023-07-05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kolflarnlav (NT), mörk kolflarnlav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0840-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pPr>
        <w:pStyle w:val="Heading1"/>
      </w:pPr>
      <w:r>
        <w:t>Fridlysta arter</w:t>
      </w:r>
    </w:p>
    <w:p>
      <w:r>
        <w:t>Följande fridlysta arter har sina livsmiljöer och växtplatser i den avverkningsanmälda skogen: knärot (VU, §8) och spillkråka (NT, §4).</w:t>
      </w:r>
      <w:r>
        <w:t xml:space="preserve"> I BILAGA 1 finns information om ekologi samt krav på livsmiljö hos fridlysta arter.</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 karta knärot.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6912969, E 505631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 Varje par utnyttjar 400-1 000 hektar skog beroende på skogens kvalitet. En minskning av populationen pågår på grund av minskad tillgång på lämpliga bo- och födoträd och minskad födotillgång. Spillkråkans minskningstakt har uppgått till 19 (24-10) % under de senaste 15 åren.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