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15530-2024 i Vallentuna kommun</w:t>
      </w:r>
    </w:p>
    <w:p>
      <w:r>
        <w:t>Detta klagomål behandlar höga naturvärden i avverkningsanmälan A 15530-2024 i Vallentuna kommun som inkom 2024-04-19 och omfattar 29,3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15530-2024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6605302, E 685859 i SWEREF 99 TM.</w:t>
      </w:r>
    </w:p>
    <w:p>
      <w:r>
        <w:t>I och inom 22 meter från avverkningsanmälan finns fynd av 26 naturvårdsarter, varav 10 är rödlistade, 11 är fridlysta, 17 är typiska (T) och 9 är signalarter (S): knärot (VU, T, §8), tofsvipa (VU, §4), bivråk (NT, §4), dropptaggsvamp (NT, T), dvärgbägarlav (NT, T), kolflarnlav (NT, T), tallticka (NT, T), talltita (NT, §4), ullticka (NT, T), vedskivlav (NT, T), björksplintborre (S), blåmossa (S, T), bronshjon (S, T), granbarkgnagare (S, T), grovticka (S, T), grönpyrola (S, T), mindre märgborre (S, T), vedticka (S, T), vågbandad barkbock (S), nattskärra (T, §4), spillkråka (T, §4), tjäder (T, §4), orre (§4), trädlärka (§4), skogsödla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15530-2024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6605302, E 685859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