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50183-2023 i Vallentuna kommun</w:t>
      </w:r>
    </w:p>
    <w:p>
      <w:r>
        <w:t>Denna tillsynsbegäran behandlar höga naturvärden i avverkningsanmälan A 50183-2023 i Vallentuna kommun som inkom 2023-10-09 och omfattar 5,6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50183-2023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6616564, E 685384 i SWEREF 99 TM.</w:t>
      </w:r>
    </w:p>
    <w:p>
      <w:r>
        <w:t>I och inom 25 meter från avverkningsanmälan finns fynd av 42 naturvårdsarter, varav 20 är rödlistade, 9 är fridlysta, 30 är typiska (T) och 18 är signalarter (S): blackticka (VU), knärot (VU, T, §8), porslinsblå spindling (VU, T), blå taggsvamp (NT, T), brunpudrad nållav (NT, T), dropptaggsvamp (NT, T), fjällig taggsvamp s.str. (NT), kattfotslav (NT, T), motaggsvamp (NT, T), orange taggsvamp (NT, T), rosenticka (NT, T), tallfingersvamp (NT), tallkötticka (NT), tallticka (NT, T), talltita (NT, §4), tjockfotad fingersvamp (NT), ullticka (NT, T), vedskivlav (NT, T), vedtrappmossa (NT, T), vintertagging (NT), björksplintborre (S), blåmossa (S, T), grön sköldmossa (S, T, §8), grönpyrola (S, T), jättesvampmal (S), korallblylav (S, T), kornig nållav (S, T), mindre märgborre (S, T), plattlummer (S, T, §9), rostfläck (S, T), rödgul trumpetsvamp (S), skinnlav (S, T), skogshakmossa (S, T), spindelblomster (S, T, §8), stor aspticka (S, T), trådticka (S, T), vedticka (S, T), vågbandad barkbock (S), mattlummer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91 fyndplatser för knärot registrerade på Artportalen. Figur 2 visar gränserna för buffertzoner på 50 m, som behöver lämnas kring fyndplatserna för att knärotslokalerna inte ska försvinna vid en avverkning. Av det avverkningsanmälda området överlappar 4.63 ha med buffertzonerna och får av detta skäl inte avverkas.</w:t>
      </w:r>
    </w:p>
    <w:p>
      <w:pPr>
        <w:pStyle w:val="Caption"/>
      </w:pPr>
      <w:r>
        <w:drawing>
          <wp:inline xmlns:a="http://schemas.openxmlformats.org/drawingml/2006/main" xmlns:pic="http://schemas.openxmlformats.org/drawingml/2006/picture">
            <wp:extent cx="5486400" cy="3629320"/>
            <wp:docPr id="2" name="Picture 2"/>
            <wp:cNvGraphicFramePr>
              <a:graphicFrameLocks noChangeAspect="1"/>
            </wp:cNvGraphicFramePr>
            <a:graphic>
              <a:graphicData uri="http://schemas.openxmlformats.org/drawingml/2006/picture">
                <pic:pic>
                  <pic:nvPicPr>
                    <pic:cNvPr id="0" name="A 50183-2023 karta knärot.png"/>
                    <pic:cNvPicPr/>
                  </pic:nvPicPr>
                  <pic:blipFill>
                    <a:blip r:embed="rId17"/>
                    <a:stretch>
                      <a:fillRect/>
                    </a:stretch>
                  </pic:blipFill>
                  <pic:spPr>
                    <a:xfrm>
                      <a:off x="0" y="0"/>
                      <a:ext cx="5486400" cy="3629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6616564, E 685384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porslinsblå spindling (VU, T), blå taggsvamp (NT, T), brunpudrad nållav (NT, T), dropptaggsvamp (NT, T), kattfotslav (NT, T), motaggsvamp (NT, T), orange taggsvamp (NT, T), rosenticka (NT, T), tallticka (NT, T), ullticka (NT, T), vedskivlav (NT, T), vedtrappmossa (NT, T), blåmossa (S, T), grön sköldmossa (S, T, §8), grönpyrola (S, T), korallblylav (S, T), kornig nållav (S, T), mindre märgborre (S, T), plattlummer (S, T, §9), rostfläck (S, T), skinnlav (S, T), skogshakmossa (S, T), spindelblomster (S, T, §8), stor aspticka (S, T), trådticka (S, T), vedticka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