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40568-2023 i Vallentuna kommun</w:t>
      </w:r>
    </w:p>
    <w:p>
      <w:r>
        <w:t>Detta klagomål behandlar höga naturvärden i avverkningsanmälan A 40568-2023 i Vallentuna kommun som inkom 2023-08-30 och omfattar 4,6 ha.</w:t>
      </w:r>
    </w:p>
    <w:p>
      <w:pPr>
        <w:pStyle w:val="Caption"/>
      </w:pPr>
      <w:r>
        <w:drawing>
          <wp:inline xmlns:a="http://schemas.openxmlformats.org/drawingml/2006/main" xmlns:pic="http://schemas.openxmlformats.org/drawingml/2006/picture">
            <wp:extent cx="4889005" cy="5724000"/>
            <wp:docPr id="1" name="Picture 1"/>
            <wp:cNvGraphicFramePr>
              <a:graphicFrameLocks noChangeAspect="1"/>
            </wp:cNvGraphicFramePr>
            <a:graphic>
              <a:graphicData uri="http://schemas.openxmlformats.org/drawingml/2006/picture">
                <pic:pic>
                  <pic:nvPicPr>
                    <pic:cNvPr id="0" name="A 40568-2023 karta.png"/>
                    <pic:cNvPicPr/>
                  </pic:nvPicPr>
                  <pic:blipFill>
                    <a:blip r:embed="rId16"/>
                    <a:stretch>
                      <a:fillRect/>
                    </a:stretch>
                  </pic:blipFill>
                  <pic:spPr>
                    <a:xfrm>
                      <a:off x="0" y="0"/>
                      <a:ext cx="48890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6616725, E 685376 i SWEREF 99 TM.</w:t>
      </w:r>
    </w:p>
    <w:p>
      <w:r>
        <w:t>I och inom 24 meter från avverkningsanmälan finns fynd av 48 naturvårdsarter, varav 24 är rödlistade, 13 är fridlysta, 28 är typiska (T) och 15 är signalarter (S): blackticka (VU), grangråticka (VU, T), gränsticka (VU, T), gul taggsvamp (VU, T), knärot (VU, T, §8), blå taggsvamp (NT, T), brunpudrad nållav (NT, T), dropptaggsvamp (NT, T), fjällig taggsvamp s.str. (NT), gultoppig fingersvamp (NT), kattfotslav (NT, T), kryddspindling (NT, T), loppstarr (NT), motaggsvamp (NT, T), orange taggsvamp (NT, T), rosenticka (NT, T), skarp dropptaggsvamp (NT), tallticka (NT, T), talltita (NT, §4), tjockfotad fingersvamp (NT), ullticka (NT, T), vedtrappmossa (NT, T), vintertagging (NT), vågticka (NT), grön sköldmossa (S, T, §8), grönpyrola (S, T), kornig nållav (S, T), mindre märgborre (S, T), mörk husmossa (S, T), rödgul trumpetsvamp (S), skogshakmossa (S, T), spindelblomster (S, T, §8), strimspindling (S), stubbspretmossa (S, T), svavelriska (S), trådticka (S, T), vedticka (S, T), vågbandad barkbock (S), zontaggsvamp (S), mattlummer (T, §9), spillkråka (T, §4), tjäder (T, §4), kungsfågel (§4), svartvit flugsnappare (§4), kopparödla (§6),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90 fyndplatser för knärot registrerade på Artportalen. Figur 2 visar gränserna för buffertzoner på 50 m, som behöver lämnas kring fyndplatserna för att knärotslokalerna inte ska försvinna vid en avverkning. Av det avverkningsanmälda området överlappar 4.62 ha med buffertzonerna och får av detta skäl inte avverkas.</w:t>
      </w:r>
    </w:p>
    <w:p>
      <w:pPr>
        <w:pStyle w:val="Caption"/>
      </w:pPr>
      <w:r>
        <w:drawing>
          <wp:inline xmlns:a="http://schemas.openxmlformats.org/drawingml/2006/main" xmlns:pic="http://schemas.openxmlformats.org/drawingml/2006/picture">
            <wp:extent cx="5486400" cy="4737912"/>
            <wp:docPr id="2" name="Picture 2"/>
            <wp:cNvGraphicFramePr>
              <a:graphicFrameLocks noChangeAspect="1"/>
            </wp:cNvGraphicFramePr>
            <a:graphic>
              <a:graphicData uri="http://schemas.openxmlformats.org/drawingml/2006/picture">
                <pic:pic>
                  <pic:nvPicPr>
                    <pic:cNvPr id="0" name="A 40568-2023 karta knärot.png"/>
                    <pic:cNvPicPr/>
                  </pic:nvPicPr>
                  <pic:blipFill>
                    <a:blip r:embed="rId17"/>
                    <a:stretch>
                      <a:fillRect/>
                    </a:stretch>
                  </pic:blipFill>
                  <pic:spPr>
                    <a:xfrm>
                      <a:off x="0" y="0"/>
                      <a:ext cx="5486400" cy="4737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6616725, E 685376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48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