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knärot (VU, §8), blå taggsvamp (NT), druvfingersvamp (NT), granticka (NT), motaggsvamp (NT), orange taggsvamp (NT), rosenticka (NT), spillkråka (NT, §4), svart taggsvamp (NT), tallticka (NT), talltita (NT, §4), ullticka (NT), vedskivlav (NT), vedtrappmossa (NT), björksplintborre (S), dropptaggsvamp (S), grönpyrola (S), kattfotslav (S), korallblylav (S), mindre märgborre (S), plattlummer (S, §9), rödgul trumpetsvamp (S), skinnlav (S), spindelblomster (S, §8), stor aspticka (S), thomsons trägnagare (S), vedticka (S) och vågbandad barkbock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69 fyndplatser för knärot registrerade på Artportalen. Figur 2 visar gränserna för buffertzoner på 50 m, som behöver lämnas kring fyndplatserna för att knärotslokalerna inte ska försvinna vid en avverkning. Av det avverkningsanmälda området överlappar 4.55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