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68127-2019 i Vallentuna kommun</w:t>
      </w:r>
    </w:p>
    <w:p>
      <w:r>
        <w:t>Detta dokument behandlar höga naturvärden i avverkningsanmälan A 68127-2019 i Vallentuna kommun. Denna avverkningsanmälan inkom 2019-12-18 och omfattar 2,9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4 naturvårdsarter hittats: skogsalm (CR), bronspraktbagge (NT), mörk husmossa (S) och bred kärrtrollslända (§4a). Av dessa är 2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2565316"/>
            <wp:docPr id="1" name="Picture 1"/>
            <wp:cNvGraphicFramePr>
              <a:graphicFrameLocks noChangeAspect="1"/>
            </wp:cNvGraphicFramePr>
            <a:graphic>
              <a:graphicData uri="http://schemas.openxmlformats.org/drawingml/2006/picture">
                <pic:pic>
                  <pic:nvPicPr>
                    <pic:cNvPr id="0" name="A 68127-2019 karta.png"/>
                    <pic:cNvPicPr/>
                  </pic:nvPicPr>
                  <pic:blipFill>
                    <a:blip r:embed="rId16"/>
                    <a:stretch>
                      <a:fillRect/>
                    </a:stretch>
                  </pic:blipFill>
                  <pic:spPr>
                    <a:xfrm>
                      <a:off x="0" y="0"/>
                      <a:ext cx="5486400" cy="25653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6606939, E 690424 i SWEREF 99 TM.</w:t>
      </w:r>
    </w:p>
    <w:p>
      <w:r>
        <w:rPr>
          <w:b/>
        </w:rPr>
        <w:t>Bronspraktbagge (NT)</w:t>
      </w:r>
      <w:r>
        <w:t xml:space="preserve"> är en skalbagge vars larvutveckling sker i solexponerad, stående död ved av tall och gran. Arten missgynnas genom att glesa, äldre barrskogar avverkas och ersätts med täta barrträdsplanteringar. Äldre, glesa barrskogar med gott om grov död ved i främst sydöstra Sverige bör bevaras i sin helhet och inte avverkas. Bränd barrskog bör bevaras intakt, och naturvårdsbränningar är positivt. Torra, solexponerade barrträd i skogen bör få vara kvar, och inte plockas ut som exempelvis biobränsle (SLU Artdatabanken, 2024).</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pPr>
        <w:pStyle w:val="Heading1"/>
      </w:pPr>
      <w:r>
        <w:t>Fridlysta arter</w:t>
      </w:r>
    </w:p>
    <w:p>
      <w:r>
        <w:t>Följande fridlysta arter har sina livsmiljöer och växtplatser i den avverkningsanmälda skogen: bred kärrtrollslända (§4a).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