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17342-2025 i Vallentuna kommun</w:t>
      </w:r>
    </w:p>
    <w:p>
      <w:r>
        <w:t>Denna tillsynsbegäran behandlar höga naturvärden i avverkningsanmälan A 17342-2025 i Vallentuna kommun som inkom 2025-04-09 och omfattar 3,9 ha.</w:t>
      </w:r>
    </w:p>
    <w:p>
      <w:pPr>
        <w:pStyle w:val="Caption"/>
      </w:pPr>
      <w:r>
        <w:drawing>
          <wp:inline xmlns:a="http://schemas.openxmlformats.org/drawingml/2006/main" xmlns:pic="http://schemas.openxmlformats.org/drawingml/2006/picture">
            <wp:extent cx="5486400" cy="4351413"/>
            <wp:docPr id="1" name="Picture 1"/>
            <wp:cNvGraphicFramePr>
              <a:graphicFrameLocks noChangeAspect="1"/>
            </wp:cNvGraphicFramePr>
            <a:graphic>
              <a:graphicData uri="http://schemas.openxmlformats.org/drawingml/2006/picture">
                <pic:pic>
                  <pic:nvPicPr>
                    <pic:cNvPr id="0" name="A 17342-2025 karta.png"/>
                    <pic:cNvPicPr/>
                  </pic:nvPicPr>
                  <pic:blipFill>
                    <a:blip r:embed="rId16"/>
                    <a:stretch>
                      <a:fillRect/>
                    </a:stretch>
                  </pic:blipFill>
                  <pic:spPr>
                    <a:xfrm>
                      <a:off x="0" y="0"/>
                      <a:ext cx="5486400" cy="435141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6610947, E 691425 i SWEREF 99 TM.</w:t>
      </w:r>
    </w:p>
    <w:p>
      <w:r>
        <w:t>I och inom 19 meter från avverkningsanmälan finns fynd av 10 naturvårdsarter, varav 1 är rödlistad, 4 är fridlysta, 7 är typiska (T) och 2 är signalarter (S): motaggsvamp (NT, T), mindre märgborre (S, T), vågbandad barkbock (S), blåsippa (T, §9), kransmossa (T), liljekonvalj (T), spillkråka (T, §4), timmerticka (T), grönsiska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mindre märgborre (S, T), blåsippa (T, §9), kransmossa (T), liljekonvalj (T),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