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knärot (VU, §8), porslinsblå spindling (VU), blå taggsvamp (NT), brunpudrad nållav (NT), druvfingersvampar (NT), granticka (NT), motaggsvamp (NT), orange taggsvamp (NT), rosenticka (NT), spillkråka (NT, §4), svart taggsvamp agg. (NT), tallkötticka (NT), tallticka (NT), talltita (NT, §4), ullticka (NT), vedskivlav (NT), vedtrappmossa (NT), vintertagging (NT), björksplintborre (S), blåmossa (S), dropptaggsvamp (S), grön sköldmossa (S, §8), grönpyrola (S), jättesvampmal (S), kattfotslav (S), korallblylav (S), mindre märgborre (S), plattlummer (S, §9), rostfläck (S), rödgul trumpetsvamp (S), skinnlav (S), skogshakmossa (S), spindelblomster (S, §8), stor aspticka (S), tallfingersvamp (S), thomsons trägnagare (S), tjockfotad fingersvamp (S), trådticka (S), vedticka (S), vågbandad barkbock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1098"/>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5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plattlummer (S, §9),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4.63 ha med buffertzonerna och får av detta skäl inte avverkas.</w:t>
      </w:r>
    </w:p>
    <w:p>
      <w:pPr>
        <w:pStyle w:val="Caption"/>
      </w:pPr>
      <w:r>
        <w:drawing>
          <wp:inline xmlns:a="http://schemas.openxmlformats.org/drawingml/2006/main" xmlns:pic="http://schemas.openxmlformats.org/drawingml/2006/picture">
            <wp:extent cx="5486400" cy="3211771"/>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1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