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55825-2023 i Vallentuna kommun</w:t>
      </w:r>
    </w:p>
    <w:p>
      <w:r>
        <w:t>Detta dokument behandlar höga naturvärden i avverkningsanmälan A 55825-2023 i Vallentuna kommun. Denna avverkningsanmälan inkom 2023-11-09 00:00:00 och omfattar 4,9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13 naturvårdsarter hittats: garnlav (NT), spillkråka (NT, §4), talltita (NT, §4), ullticka (NT), vedskivlav (NT), björksplintborre (S), blodticka (S), jättesvampmal (S), mindre märgborre (S), vedticka (S), tjäder (§4), fläcknycklar (§8) och revlummer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99989"/>
            <wp:docPr id="1" name="Picture 1"/>
            <wp:cNvGraphicFramePr>
              <a:graphicFrameLocks noChangeAspect="1"/>
            </wp:cNvGraphicFramePr>
            <a:graphic>
              <a:graphicData uri="http://schemas.openxmlformats.org/drawingml/2006/picture">
                <pic:pic>
                  <pic:nvPicPr>
                    <pic:cNvPr id="0" name="A 55825-2023 karta.png"/>
                    <pic:cNvPicPr/>
                  </pic:nvPicPr>
                  <pic:blipFill>
                    <a:blip r:embed="rId16"/>
                    <a:stretch>
                      <a:fillRect/>
                    </a:stretch>
                  </pic:blipFill>
                  <pic:spPr>
                    <a:xfrm>
                      <a:off x="0" y="0"/>
                      <a:ext cx="5486400" cy="59999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6609146, E 688394 i SWEREF 99 TM.</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 xml:space="preserve">Blodticka </w:t>
      </w:r>
      <w:r>
        <w:t xml:space="preserve">är i norra Sverige främst knuten till grova granlågor i urskogsartad barrskog, men förekommer ibland även på klenare granar i anslutning till bäckar och sumpskogar. Den är en bra indikator på granskogar med höga naturvärden och oftast förekommer den tillsammans med ett stort antal ovanliga och rödlistade arter. I södra Sverige växer den framför allt på tall och har då ett lägre signalvärde. Blodticka är typisk art för </w:t>
      </w:r>
      <w:r>
        <w:rPr>
          <w:i/>
        </w:rPr>
        <w:t>9030 Landhöjningsskog</w:t>
      </w:r>
      <w:r>
        <w:t xml:space="preserve"> (SLU Artdatabanken, 2025;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Jättesvampmal</w:t>
      </w:r>
      <w:r>
        <w:t xml:space="preserve"> är en fjäril som flyger i juli i mer eller mindre orörd gammal löv- eller blandskog, särskilt sådan med björk och bok. Larven lever i fnöskticka m.fl. tickor och kläckhålen och resterna av larvgångar i äldre fruktkroppar är lätta att känna igen och inventera. Arten hotas av avverkning av gamla, svampangripna lövträd samt bortforsling av döda lövträd, vindfällen och lågor. Gamla lövträd och naturbestånd med lövskog - särskilt björk och bok - bör sparas så långt möjligt och död ved lämnas kvar i skogen (SLU Artdatabanken, 2025).</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Fridlysta arter</w:t>
      </w:r>
    </w:p>
    <w:p>
      <w:r>
        <w:t>Följande fridlysta arter har sina livsmiljöer och växtplatser i den avverkningsanmälda skogen: spillkråka (NT, §4), talltita (NT, §4), tjäder (§4), fläcknycklar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0.16 ha med buffertzonerna och får av detta skäl inte avverkas.</w:t>
      </w:r>
    </w:p>
    <w:p>
      <w:pPr>
        <w:pStyle w:val="Caption"/>
      </w:pPr>
      <w:r>
        <w:drawing>
          <wp:inline xmlns:a="http://schemas.openxmlformats.org/drawingml/2006/main" xmlns:pic="http://schemas.openxmlformats.org/drawingml/2006/picture">
            <wp:extent cx="5486400" cy="7605875"/>
            <wp:docPr id="2" name="Picture 2"/>
            <wp:cNvGraphicFramePr>
              <a:graphicFrameLocks noChangeAspect="1"/>
            </wp:cNvGraphicFramePr>
            <a:graphic>
              <a:graphicData uri="http://schemas.openxmlformats.org/drawingml/2006/picture">
                <pic:pic>
                  <pic:nvPicPr>
                    <pic:cNvPr id="0" name="A 55825-2023 karta knärot.png"/>
                    <pic:cNvPicPr/>
                  </pic:nvPicPr>
                  <pic:blipFill>
                    <a:blip r:embed="rId17"/>
                    <a:stretch>
                      <a:fillRect/>
                    </a:stretch>
                  </pic:blipFill>
                  <pic:spPr>
                    <a:xfrm>
                      <a:off x="0" y="0"/>
                      <a:ext cx="5486400" cy="760587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6609146, E 688394 i SWEREF 99 TM.</w:t>
      </w:r>
    </w:p>
    <w:p>
      <w:pPr>
        <w:pStyle w:val="Caption"/>
      </w:pP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