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
        <w:rPr>
          <w:highlight w:val="yellow"/>
        </w:rPr>
        <w:t>OBS! Ta bort denna text och instruktionerna nedan innan dokumentet skickas in.</w:t>
      </w:r>
    </w:p>
    <w:p>
      <w:r>
        <w:rPr>
          <w:u w:val="single"/>
        </w:rPr>
        <w:t>Saker att tänka på innan du skickar in synpunkter, förfrågningar och klagomål gällande FSC regelverket:</w:t>
      </w:r>
    </w:p>
    <w:p>
      <w:pPr>
        <w:pStyle w:val="ListBullet"/>
      </w:pPr>
      <w:r>
        <w:rPr>
          <w:b/>
        </w:rPr>
        <w:t>Mycket viktig att beställa hem</w:t>
      </w:r>
      <w:r>
        <w:rPr>
          <w:b/>
          <w:vertAlign w:val="superscript"/>
        </w:rPr>
        <w:t>1</w:t>
      </w:r>
      <w:r>
        <w:rPr>
          <w:b/>
        </w:rPr>
        <w:t xml:space="preserve"> och granska avverkningsanmälan från Skogsstyrelsen innan du skickar iväg något.</w:t>
      </w:r>
    </w:p>
    <w:p>
      <w:pPr>
        <w:pStyle w:val="ListBullet"/>
      </w:pPr>
      <w:r>
        <w:rPr>
          <w:b/>
        </w:rPr>
        <w:t xml:space="preserve">Den svenska FSC standardens krav (exempelvis indikator 6.4.3) kan endast användas om markägaren är FSC certifierad. </w:t>
      </w:r>
      <w:r>
        <w:t>Du måste därför ta reda på om markägaren är FSC certifierad innan du skickar in ett sådant klagomål</w:t>
      </w:r>
      <w:r>
        <w:rPr>
          <w:vertAlign w:val="superscript"/>
        </w:rPr>
        <w:t>2</w:t>
      </w:r>
      <w:r>
        <w:t>.</w:t>
      </w:r>
    </w:p>
    <w:p>
      <w:pPr>
        <w:pStyle w:val="ListBullet"/>
      </w:pPr>
      <w:r>
        <w:rPr>
          <w:b/>
        </w:rPr>
        <w:t>För att skicka klagomål gällande bristfällig hänsyn till rödlistade arter (indikator 6.4.3) måste man först granska om det finns någon hänsyn planerad till arterna i avverkningsanmälan.</w:t>
      </w:r>
    </w:p>
    <w:p>
      <w:pPr>
        <w:pStyle w:val="ListBullet"/>
      </w:pPr>
      <w:r>
        <w:t xml:space="preserve">Om du inte har granskat om hänsyn planeras till arterna i avverkningsanmälan kan du möjligen skicka in dokumentet som en synpunkt eller förfrågan. </w:t>
      </w:r>
      <w:r>
        <w:rPr>
          <w:b/>
        </w:rPr>
        <w:t>Om du skickar in som förfrågan kan du till skillnad från en synpunkt förvänta dig ett svar.</w:t>
      </w:r>
    </w:p>
    <w:p>
      <w:pPr>
        <w:pStyle w:val="ListBullet"/>
      </w:pPr>
      <w:r>
        <w:t>Klagomål mot FSC skogsbruksstandarden ska i ett första skede framföras till certifikatsinnehavaren, tex ett skogsbolag. Många (främst mindre) skogsägare är medlemmar i gruppcertifikat</w:t>
      </w:r>
      <w:r>
        <w:rPr>
          <w:vertAlign w:val="superscript"/>
        </w:rPr>
        <w:t>3</w:t>
      </w:r>
      <w:r>
        <w:t xml:space="preserve"> och då ska klagomålet framföras till gruppcertifikatet.</w:t>
      </w:r>
    </w:p>
    <w:p>
      <w:pPr>
        <w:pStyle w:val="ListBullet"/>
      </w:pPr>
      <w:r>
        <w:t>Om ett ombud (tex Norra skog eller Mellanskog) avverkningsanmäler en skog med naturvärden motsvarande nyckelbiotops kvalité men markägaren inte är FSC certifierad, bör du skicka in ett FSC kontrollerat virke klagomål. Då ska klagomålet skickas till ombudsföretaget.</w:t>
      </w:r>
    </w:p>
    <w:p>
      <w:pPr>
        <w:jc w:val="left"/>
      </w:pPr>
      <w:r>
        <w:rPr>
          <w:vertAlign w:val="superscript"/>
        </w:rPr>
        <w:t>1</w:t>
      </w:r>
      <w:r>
        <w:t xml:space="preserve"> Maila till skogsstyrelsen@skogsstyrelsen.se</w:t>
        <w:br/>
      </w:r>
      <w:r>
        <w:rPr>
          <w:vertAlign w:val="superscript"/>
        </w:rPr>
        <w:t>2</w:t>
      </w:r>
      <w:r>
        <w:t xml:space="preserve"> Hör av dig till FSC kansliet eller isak.lodin@wwf.se om du vill ha hjälp.</w:t>
        <w:br/>
      </w:r>
      <w:r>
        <w:rPr>
          <w:vertAlign w:val="superscript"/>
        </w:rPr>
        <w:t>3</w:t>
      </w:r>
      <w:r>
        <w:t xml:space="preserve"> https://se.fsc.org/se-sv/hitta/grupper-for-skogsbrukscertifiering</w:t>
      </w:r>
    </w:p>
    <w:p>
      <w:r>
        <w:rPr>
          <w:highlight w:val="yellow"/>
        </w:rPr>
        <w:t>OBS! Ta bort denna text och instruktionerna ovan innan dokumentet skickas in.</w:t>
        <w:br w:type="page"/>
      </w:r>
    </w:p>
    <w:p>
      <w:pPr>
        <w:pStyle w:val="Title"/>
      </w:pPr>
      <w:r>
        <w:t>Inledande FSC- /PEFC-klagomål – information om höga naturvärden och fridlysta arter i avverkningsanmälan A 40568-2023 i Vallentuna kommun</w:t>
      </w:r>
    </w:p>
    <w:p>
      <w:r>
        <w:t>Detta dokument behandlar höga naturvärden i avverkningsanmälan A 40568-2023 i Vallentuna kommun. Denna avverkningsanmälan inkom 2023-08-30 00:00:00 och omfattar 4,6 ha.</w:t>
      </w:r>
    </w:p>
    <w:p>
      <w:r>
        <w:t>Nedan presenteras fynd av naturvårdsarter och fridlysta arter som gjorts i det avverkningsanmälda området, samt relevanta utdrag ur standarderna för FSC, Chain of Custody, Controlled Wood och PEFC. I BILAGA 1 finns artfakta om fridlysta och rödlistade arter.</w:t>
      </w:r>
    </w:p>
    <w:p>
      <w:r>
        <w:t>Vi förväntar oss att ni återkommer med ett skriftligt svar på vårt klagomål och även beskriver vilka korrigerande åtgärder ni satt in för att rätta till identifierade brister i er efterlevnad av den svenska FSC standarden.</w:t>
      </w:r>
    </w:p>
    <w:p>
      <w:pPr>
        <w:pStyle w:val="Heading1"/>
      </w:pPr>
      <w:r>
        <w:t>Naturvårdsarter</w:t>
      </w:r>
    </w:p>
    <w:p>
      <w:r>
        <w:t>I avverkningsanmälan har följande 44 naturvårdsarter hittats: blackticka (VU), grangråticka (VU), knärot (VU, §8), vågticka (VU), brunpudrad nållav (NT), druvfingersvamp (NT), granticka (NT), gränsticka (NT), gul taggsvamp (NT), gultoppig fingersvamp (NT), loppstarr (NT), orange taggsvamp (NT), rosenticka (NT), spillkråka (NT, §4), tallticka (NT), talltita (NT, §4), ullticka (NT), vedtrappmossa (NT), fjällig taggsvamp s.str. (S), grön sköldmossa (S, §8), grönpyrola (S), kattfotslav (S), kornig nållav (S), kryddspindling (S), mindre märgborre (S), mörk husmossa (S), rödgul trumpetsvamp (S), skarp dropptaggsvamp (S), skogshakmossa (S), spindelblomster (S, §8), strimspindling (S), stubbspretmossa (S), svavelriska (S), tjockfotad fingersvamp (S), trådticka (S), vedticka (S), vågbandad barkbock (S), zontaggsvamp (S), kungsfågel (§4), tjäder (§4), kopparödla (§6), mattlummer (§9), revlummer (§9) och äkta lopplummer (§9).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3148999"/>
            <wp:docPr id="1" name="Picture 1"/>
            <wp:cNvGraphicFramePr>
              <a:graphicFrameLocks noChangeAspect="1"/>
            </wp:cNvGraphicFramePr>
            <a:graphic>
              <a:graphicData uri="http://schemas.openxmlformats.org/drawingml/2006/picture">
                <pic:pic>
                  <pic:nvPicPr>
                    <pic:cNvPr id="0" name="A 40568-2023 karta.png"/>
                    <pic:cNvPicPr/>
                  </pic:nvPicPr>
                  <pic:blipFill>
                    <a:blip r:embed="rId16"/>
                    <a:stretch>
                      <a:fillRect/>
                    </a:stretch>
                  </pic:blipFill>
                  <pic:spPr>
                    <a:xfrm>
                      <a:off x="0" y="0"/>
                      <a:ext cx="5486400" cy="3148999"/>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6616725, E 685376 i SWEREF 99 TM.</w:t>
      </w:r>
    </w:p>
    <w:p>
      <w:r>
        <w:rPr>
          <w:b/>
        </w:rPr>
        <w:t>Blackticka (VU)</w:t>
      </w:r>
      <w:r>
        <w:t>, rödlistad som sårbar, är en exklusiv svamp som signalerar fuktiga granskogar med mycket höga naturvärden. Den har klassificerats som en “urskogsindikator” och påträffas nästan enbart i urskogsartade barrnaturskogar med långvarig kontinuitet av grova lågor i olika nedbrytningsstadier. Skogsskötselåtgärder på eller i omedelbar närhet av lokalerna utgör ett hot och på lång sikt innebär fragmenteringen av skogslandskapet att artens förekomster isoleras vilket i sig utgör ett hot mot artens överlevnad. Fler skogar med blackticka måste skyddas (Nitare &amp; Skogsstyrelsen, 2019;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 xml:space="preserve">Druvfingersvamp (NT) </w:t>
      </w:r>
      <w:r>
        <w:t>växer i skogar med lång skoglig kontinuitet och uppträder gärna på ytor med tunna humuslager och blottad mineraljord, t.ex. i sluttningar eller i närheten av stigar. Den är placerad högst upp i Skogsstyrelsens värdepyramid för bedömning av skog med höga naturvärden och all form av skogsavverkning innebär hot. Arten tål inte en slutavverkning och lokalerna bör undantas från rationella skogsbruksmetoder och inkluderas i formellt skyddad skog. Druvfingersvampar utgör en liten grupp snarlika arter, vilka utgör ett artkomplex som är under utredning. Gruppen omfattar minst fem olika arter i Sverige, men tills vidare behandlas druvfingersvamp här i en klassisk kollektiv bemärkelse som en enda art (SLU Artdatabanken, 2024; Nitare &amp; Skogsstyrelsen, 2019).</w:t>
      </w:r>
    </w:p>
    <w:p>
      <w:r>
        <w:rPr>
          <w:b/>
        </w:rPr>
        <w:t>Grangråticka (VU)</w:t>
      </w:r>
      <w:r>
        <w:t xml:space="preserve"> bildar mykorrhiza med gran och påträffas på kalkrik mark i örtrika granskogar med t.ex. blåsippa, harsyra och ekorrbär i fältskiktet. Arten är beroende av långvarig kontinuitet av äldre gran och tål ingen slutavverkning (kalhuggning). Lokaler med grangråticka är alltid skyddsvärda och bör skötas med stor varsamhet (SLU Artdatabanken, 2024; Nitare &amp; Skogsstyrelsen, 2019).</w:t>
      </w:r>
    </w:p>
    <w:p>
      <w:r>
        <w:rPr>
          <w:b/>
        </w:rPr>
        <w:t>Granticka (NT)</w:t>
      </w:r>
      <w:r>
        <w:t xml:space="preserve"> förekommer främst i äldre skogar med naturskogskaraktär, liksom i dimensionsavverkade och plockhuggna skogar. I äldre grannaturskog i norra Sverige är den alltjämt en förhållandevis vanlig karaktärsart, medan den längre söderut blir allt mer sällsynt. I Götaland och delar av Svealand är den en god signalart för skyddsvärda granskogsmiljöer. Arten bedöms ha minskat starkt under senare år på grund av skogsavverkningar, då den framför allt växer i äldre granskog med långvarig grankontinuitet. I urskogsliknande bestånd i norra Sverige kan ibland påträffas den mycket sällsynta tickan grantickeporing (VU), som lever på döda grantickor (SLU Artdatabanken, 2024; Nitare &amp; Skogsstyrelsen, 2019).</w:t>
      </w:r>
    </w:p>
    <w:p>
      <w:r>
        <w:rPr>
          <w:b/>
        </w:rPr>
        <w:t>Gränsticka (NT)</w:t>
      </w:r>
      <w:r>
        <w:t xml:space="preserve"> är en mycket bra signalart inom hela sitt utbredningsområde. Den är huvudsakligen knuten till restbestånd av barrnaturskog och förekommer med ett tydligt optimum i orörda eller måttligt påverkade gamla granskogar där det föreligger långvarig kontinuitet av grov död ved. Lokaler som hyser arten, speciellt i mellersta och södra Sverige, bör undantas från skogsbruk (SLU Artdatabanken, 2024; Nitare &amp; Skogsstyrelsen, 2019).</w:t>
      </w:r>
    </w:p>
    <w:p>
      <w:r>
        <w:rPr>
          <w:b/>
        </w:rPr>
        <w:t xml:space="preserve">Grönpyrola </w:t>
      </w:r>
      <w:r>
        <w:t>växer främst på sandig, torr eller frisk mark i äldre barrskog, ofta på isälvsmaterial såsom sand och grus. Den påträffas främst i äldre naturligt uppkomna barrskogar, exempelvis på tallmoar, i åssluttningar, dyner och rasbranter. Arten är känslig för skogsbruksmetoder såsom slutavverkning och markberedning (Nitare &amp; Skogsstyrelsen, 2019).</w:t>
      </w:r>
    </w:p>
    <w:p>
      <w:r>
        <w:rPr>
          <w:b/>
        </w:rPr>
        <w:t xml:space="preserve">Gul taggsvamp (NT) </w:t>
      </w:r>
      <w:r>
        <w:t>bildar mykorrhiza med gran helst på kalkrik mark, gärna i fuktig äldre ängsgranskog. Slutavverkning och markberedning missgynnar arten och fler områden med äldre skog på näringsrik mark, framför allt i södra och mellersta Sverige, behöver bevaras (SLU Artdatabanken, 2024).</w:t>
      </w:r>
    </w:p>
    <w:p>
      <w:r>
        <w:rPr>
          <w:b/>
        </w:rPr>
        <w:t>Gultoppig fingersvamp (NT)</w:t>
      </w:r>
      <w:r>
        <w:t xml:space="preserve"> bildar mykorrhiza med gran i örtrik äldre barrskog. Den är något kalkgynnad och föredrar bördiga granskogar av lågörtstyp. Svampen hotas främst av skogsavverkning och tycks försvinna efter slutavverkning, markberedning och plantering. Skogsområden med arten bör undantas från storskaligt skogsbruk. Slutavverkning, kraftig gallring och skogsgödsling måste undvikas, liksom körning med tunga maskiner (SLU Artdatabanken, 2024).</w:t>
      </w:r>
    </w:p>
    <w:p>
      <w:r>
        <w:rPr>
          <w:b/>
        </w:rPr>
        <w:t xml:space="preserve">Kattfotslav </w:t>
      </w:r>
      <w:r>
        <w:t>är en mycket god signalart i hela sitt svenska utbredningsområde och skogsbestånd med kattfotslav är alltid värdefulla ur naturvårdssynpunkt. Arten indikerar dels ett mikroklimat med konstant hög luftfuktighet, dels kontinuitet av äldre träd och god trädslutenhet. Trots att den är vanligare i sydvästra Sverige växer den enbart i skogsbestånd med höga naturvärden. Den är känslig för skogliga ingrepp som kan förändra lokal- och mikroklimat (Nitare &amp; Skogsstyrelsen, 2019).</w:t>
      </w:r>
    </w:p>
    <w:p>
      <w:r>
        <w:rPr>
          <w:b/>
        </w:rPr>
        <w:t xml:space="preserve">Kornig nållav </w:t>
      </w:r>
      <w:r>
        <w:t>förekommer i skuggiga miljöer med hög luftfuktighet och påträffas främst i gamla skogar eller på gamla träd. Den signalerar höga naturvärden och på lokalerna finns ofta flera ovanliga och rödlistade arter (SLU Artdatabanken, 2024; Nitare &amp; Skogsstyrelsen, 2019).</w:t>
      </w:r>
    </w:p>
    <w:p>
      <w:r>
        <w:rPr>
          <w:b/>
        </w:rPr>
        <w:t>Mindre märgborre</w:t>
      </w:r>
      <w:r>
        <w:t xml:space="preserve"> är en signalart för tallskog med höga naturvärden och betraktas tillsammans med skarptandad barkborre (NT) som nyckelarter för ett antal sällsynta åtgärdsprogramsarter som är beroende av deras gångsystem. Bland dessa kan nämnas avlång barkborre (VU), </w:t>
      </w:r>
      <w:r>
        <w:rPr>
          <w:i/>
        </w:rPr>
        <w:t>Corticeus longulus</w:t>
      </w:r>
      <w:r>
        <w:t xml:space="preserve"> (VU), tallbarksvartbagge (VU), tallgångbagge (VU) och cholodkovskys bastborre (NT). Den mindre märgborrens måsvingeliknande gnaggångar är lätta att känna igen och hittas ofta på grova tallgrenar på marken. 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Tallskogar med stark förekomst av mindre märgborre och skarptandad barkborre bör avsättas som reservat. Generellt bör hänsyn tas vid slutavverkning av talldominerad skog så att avverkningsrester som gren- och toppdelar lämnas (Pettersson, 2014; Hedgren, 2012; Gunnarsson m fl., 1999).</w:t>
      </w:r>
    </w:p>
    <w:p>
      <w:r>
        <w:rPr>
          <w:b/>
        </w:rPr>
        <w:t xml:space="preserve">Mörk husmossa </w:t>
      </w:r>
      <w:r>
        <w:t>är en mycket bra signalart i södra och mellersta Sverige. Den är sannolikt svårspridd och växer huvudsakligen i skog med lång skoglig kontinuitet i områden med konstant hög luftfuktighet. Den är känslig för större avverkningar, men tål plockhuggning som lämnar ett tätare trädskikt och ett obrutet, fukthållande mosstäcke på marken. Ett par studier har klart visat att artens tillväxt försämras när skogen huggs ner intill växtplatsen, och att ett kalhygges påverkan på mörk husmossa avtar både med avståndet från kalhygget och ju fuktigare växtplatsen är (SLU Artdatabanken, 2024; Nitare &amp; Skogsstyrelsen, 2019).</w:t>
      </w:r>
    </w:p>
    <w:p>
      <w:r>
        <w:rPr>
          <w:b/>
        </w:rPr>
        <w:t xml:space="preserve">Orange taggsvamp (NT) </w:t>
      </w:r>
      <w:r>
        <w:t>bildar mykorrhiza med både gran och tall och den förekommer främst i äldre barrskogar med kontinuitetsskogskaraktär. Mest frekvent är den i äldre mossrik granskog, men då bara i skogar inom granens naturliga utbredningsområde och i bestånd med långvarig grankontinuitet. Den totala populationen i landet bedöms ha minskat kraftigt och fortsatt kommer att minska då arten är knuten till en produktiv skogsmiljö som successivt avverkas. Arten hotas främst av skogsavverkning och tycks försvinna efter slutavverkning, markberedning och plantering och det är inte känt att arten har återkommit i anlagd skog på tidigare kalmark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Rödgul trumpetsvamp </w:t>
      </w:r>
      <w:r>
        <w:t>signalerar kalkrika barrsumpskogar eller avgränsade små mineralrika ytor i barrskogslandskapet, vilka normalt har höga naturvärden. I urbergsbygder är den en bra signalart på känsliga skogsbiotoper (Nitare &amp; Skogsstyrelsen, 2019).</w:t>
      </w:r>
    </w:p>
    <w:p>
      <w:r>
        <w:rPr>
          <w:b/>
        </w:rPr>
        <w:t>Stubbspretmossa</w:t>
      </w:r>
      <w:r>
        <w:t xml:space="preserve"> växer på ved i rika löv- och barrskogar med relativt hög luftfuktighet och indikerar fuktiga skogsmiljöer med gott om murken ved och ofta höga naturvärden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 xml:space="preserve">Tjockfotad fingersvamp </w:t>
      </w:r>
      <w:r>
        <w:t>bildar mykorrhiza med bok och ek på kalkrik mark i huvudsakligen äldre skog men även med gran i örtrik äldre barrskog. Slutavverkning, gödsling eller exploatering måste undvikas (SLU Artdatabanken, 2024).</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Vedtrappmossa (NT) </w:t>
      </w:r>
      <w:r>
        <w:t>växer på död ved, främst i gammal granskog. Den förekommer knappast alls i fjällnära barrskogar utan finns i skogslandskapet nedom fjällen och framför allt i landets södra delar är den en mycket bra signalart för barrnaturskog med höga naturvärden. Skogsavverkning och brist på grov död ved i skogen är de allvarligaste hoten och den överlever inte kalhyggesbruk. Lokaler med sluten granskog, tillräckligt stora för att säkerställa ett kontinuerligt tillskott på grova lågor, bör undantas från storskaligt skogsbruk (SLU Artdatabanken, 2024).</w:t>
      </w:r>
    </w:p>
    <w:p>
      <w:r>
        <w:rPr>
          <w:b/>
        </w:rPr>
        <w:t xml:space="preserve">Vågticka (VU) </w:t>
      </w:r>
      <w:r>
        <w:t>är knuten till kontinuitetsgranskogar med mycket död ved. Tidigare ansågs den som ytterst sällsynt men har nu blivit påträffad så många gånger att hotbilden eventuellt förändrats. Fortfarande är dock arten att anse som sårbar eftersom den fordrar rik tillgång till främst granlågor, ett substrat som minskat kraftigt i våra skogar. Vågtickans status bör ytterligare utredas. I väntan på detta måste fler av artens kända växtplatser säkerställas (SLU Artdatabanken, 2024).</w:t>
      </w:r>
    </w:p>
    <w:p>
      <w:pPr>
        <w:pStyle w:val="Heading1"/>
      </w:pPr>
      <w:r>
        <w:t>Fridlysta arter</w:t>
      </w:r>
    </w:p>
    <w:p>
      <w:r>
        <w:t>Följande fridlysta arter har sina livsmiljöer och växtplatser i den avverkningsanmälda skogen: knärot (VU, §8), spillkråka (NT, §4), talltita (NT, §4), grön sköldmossa (S, §8), spindelblomster (S, §8), kungsfågel (§4), tjäder (§4), kopparödla (§6), mattlummer (§9), revlummer (§9) och äkta lopplummer (§9).</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Grön sköldmossa (§8)</w:t>
      </w:r>
      <w:r>
        <w:t xml:space="preserve"> omfattas av EU:s art- och habitatdirektiv bilaga 2 vilket innebär att det finns ett uttalat intresse inom Europeiska unionen att bevara arten.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 Grön sköldmossa är en ansvarsart för Sverige då en särskilt stor andel av Europas population finns i landet. Mark- och miljööverdomstolen (MÖD) har i mål nr M 2019-20 (18 februari 2019) slagit fast att grön sköldmossa (§8) är dispenspliktig och att exemplar av arten inte får skadas utan dispens (MÖD, mål nr M 2019-20).</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86 fyndplatser för knärot registrerade på Artportalen. Figur 2 visar gränserna för buffertzoner på 50 m, som behöver lämnas kring fyndplatserna för att knärotslokalerna inte ska försvinna vid en avverkning. Av det avverkningsanmälda området överlappar 4.62 ha med buffertzonerna och får av detta skäl inte avverkas.</w:t>
      </w:r>
    </w:p>
    <w:p>
      <w:pPr>
        <w:pStyle w:val="Caption"/>
      </w:pPr>
      <w:r>
        <w:drawing>
          <wp:inline xmlns:a="http://schemas.openxmlformats.org/drawingml/2006/main" xmlns:pic="http://schemas.openxmlformats.org/drawingml/2006/picture">
            <wp:extent cx="5486400" cy="4321350"/>
            <wp:docPr id="2" name="Picture 2"/>
            <wp:cNvGraphicFramePr>
              <a:graphicFrameLocks noChangeAspect="1"/>
            </wp:cNvGraphicFramePr>
            <a:graphic>
              <a:graphicData uri="http://schemas.openxmlformats.org/drawingml/2006/picture">
                <pic:pic>
                  <pic:nvPicPr>
                    <pic:cNvPr id="0" name="A 40568-2023 karta knärot.png"/>
                    <pic:cNvPicPr/>
                  </pic:nvPicPr>
                  <pic:blipFill>
                    <a:blip r:embed="rId17"/>
                    <a:stretch>
                      <a:fillRect/>
                    </a:stretch>
                  </pic:blipFill>
                  <pic:spPr>
                    <a:xfrm>
                      <a:off x="0" y="0"/>
                      <a:ext cx="5486400" cy="4321350"/>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6616725, E 685376 i SWEREF 99 TM.</w:t>
      </w:r>
    </w:p>
    <w:p>
      <w:pPr>
        <w:pStyle w:val="Caption"/>
      </w:pPr>
    </w:p>
    <w:p>
      <w:r>
        <w:rPr>
          <w:b/>
        </w:rPr>
        <w:t>Spillkråka (NT, §4)</w:t>
      </w:r>
      <w:r>
        <w:t xml:space="preserve"> är rödlistad som nära hotad och ingår i bilaga 1 i EU:s fågeldirektiv. Den minskar i population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(SLU Artdatabanken, 2023).</w:t>
      </w:r>
    </w:p>
    <w:p>
      <w:r>
        <w:rPr>
          <w:b/>
        </w:rPr>
        <w:t>Spindelblomster (§8)</w:t>
      </w:r>
      <w:r>
        <w:t xml:space="preserve"> växer i äldre mossrik granskog eller barrblandskog, men även i fjällbjörkskog. Arten indikerar långvarig trädkontinuitet och hög luftfuktighet och är mycket känslig för uttorkning och markskador. Spindelblomster har i många trakter minskat starkt under senare tid på grund av slutavverkningar och skogsmarksdikning (Nitare &amp; Skogsstyrelsen, 2019).</w:t>
      </w:r>
    </w:p>
    <w:p>
      <w:r>
        <w:rPr>
          <w:b/>
        </w:rPr>
        <w:t>Talltita (NT, §4)</w:t>
      </w:r>
      <w:r>
        <w:t>, rödlistad som nära hotad och prioriterad art i Skogsvårdslagen har häckningsrevir i anmälan. Arten har minskat kraftigt de senaste 30 åren och minskningstakten innevarande 10-årsperiod beräknas till 20 (10–30) %. Talltitan är synnerligen trogen sitt cirka 15 hektar stora revir och är beroende av flerskiktade olikåldriga skogar för att kunna föda upp sina ungar. Talltitan försvinner om dess livsmiljö kalavverkas (Eggers &amp; Low (2014); Ekman (1979); Griesser et al (2007); Klein (2020); Siffczyk et al (2003); SLU Artdatabanken (2021).</w:t>
      </w: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t>I BILAGA 1 finns mer detaljerad information om ekologi samt krav på livsmiljö hos fridlysta arter.</w:t>
      </w:r>
    </w:p>
    <w:p>
      <w:pPr>
        <w:pStyle w:val="Heading1"/>
      </w:pPr>
      <w:r>
        <w:t>Certifiering</w:t>
      </w:r>
    </w:p>
    <w:p>
      <w:pPr>
        <w:pStyle w:val="Heading2"/>
      </w:pPr>
      <w:r>
        <w:t>Ur FSC-standarden</w:t>
      </w:r>
    </w:p>
    <w:p>
      <w:r>
        <w:rPr>
          <w:b/>
        </w:rPr>
        <w:t xml:space="preserve">PRINCIP 1: LAGEFTERLEVNAD: </w:t>
      </w:r>
      <w:r>
        <w:t>Certifikatsinnehavaren ska följa alla tillämpliga lagar, förordningar och nationellt ratificerade internationella avtal, konventioner och överenskommelser.</w:t>
      </w:r>
    </w:p>
    <w:p>
      <w:r>
        <w:rPr>
          <w:b/>
        </w:rPr>
        <w:t xml:space="preserve">1.3.1 </w:t>
      </w:r>
      <w:r>
        <w:t>Tillämpliga lagar och föreskrifter för brukandet av skogen följs.</w:t>
      </w:r>
    </w:p>
    <w:p>
      <w:pPr>
        <w:pStyle w:val="ListBullet"/>
      </w:pPr>
      <w:r>
        <w:rPr>
          <w:b/>
          <w:i/>
        </w:rPr>
        <w:t xml:space="preserve">Kommentar: </w:t>
      </w:r>
      <w:r>
        <w:t>I den avverkningsanmälda skogen har fridlysta arter sina livsmiljöer och växtplatser. Att skada de fridlysta arternas livsmiljöer, växtplatser eller ekologiska funktion är inte tillåtet enligt artskyddsförordningen.</w:t>
      </w:r>
      <w:r>
        <w:rPr>
          <w:i/>
        </w:rPr>
        <w:t xml:space="preserve"> EU:s medlemsländer och skogsbolag är skyldiga att agera i enlighet med EU:s fågeldirektiv där det uttryckligen står att direktivet gäller för fåglar samt för deras ägg, bon och </w:t>
      </w:r>
      <w:r>
        <w:rPr>
          <w:b/>
          <w:i/>
        </w:rPr>
        <w:t xml:space="preserve">livsmiljöer </w:t>
      </w:r>
      <w:r>
        <w:t>(artikel 1). Vidare att de åtgärder som vidtas inte får leda till en försämring av den nuvarande situationen beträffande bevarandet av de fågelarter som avses i artikel 1 (artikel 13).</w:t>
      </w:r>
    </w:p>
    <w:p>
      <w:r>
        <w:rPr>
          <w:b/>
        </w:rPr>
        <w:t xml:space="preserve">6.4 </w:t>
      </w:r>
      <w:r>
        <w:t>Certifikatsinnehavaren ska skydda sällsynta arter och hotade arter samt deras livsmiljöer inom skogsbruksenheten. Det ska ske genom avsättningar, andra skyddade områden och genom att skapa konnektivitet och/eller genom andra direkta åtgärder som gynnar dessa arters överlevnad och livskraft. Åtgärderna ska stå i förhållande till brukandets skala, intensitet och risk, samt till sällsynta och hotade arters bevarandestatus och ekologiska krav. Certifikatsinnehavaren ska beakta den geografiska spridningen och ekologiska krav hos sällsynta och hotade arter utanför skogsbruksenhetens gränser när beslut om åtgärder inom skogsbruksenheten ska fattas.</w:t>
      </w:r>
    </w:p>
    <w:p>
      <w:r>
        <w:rPr>
          <w:b/>
        </w:rPr>
        <w:t xml:space="preserve">6.4.1 </w:t>
      </w:r>
      <w:r>
        <w:t>Följande biotoper undantas från alla skogsbruksåtgärder, förutom åtgärder påkallade för att bevara eller främja biotopens naturliga eller hävdbetingade biologiska mångfald:</w:t>
      </w:r>
    </w:p>
    <w:p>
      <w:pPr>
        <w:ind w:left="357"/>
      </w:pPr>
      <w:r>
        <w:t>b) nyckelbiotoper enligt Skogsstyrelsens definition och metod (1995)</w:t>
      </w:r>
    </w:p>
    <w:p>
      <w:pPr>
        <w:pStyle w:val="ListBullet"/>
      </w:pPr>
      <w:r>
        <w:rPr>
          <w:b/>
          <w:i/>
        </w:rPr>
        <w:t xml:space="preserve">Kommentar: </w:t>
      </w:r>
      <w:r>
        <w:rPr>
          <w:i/>
        </w:rPr>
        <w:t>I det avverkningsanmälda skogsområdet har 38 rödlistade arter och signalarter påträffats. Detta ska jämföras med Skogsstyrelsens uppföljning 2017 av nyckelbiotoper som visade att man i genomsnitt hittar 20,6 olika rödlistade arter och signalarter i en nyckelbiotop (Wijk, S. 2017. Biologisk mångfald i nyckelbiotoper – Resultat från inventeringen “Uppföljning biologisk mångfald” 2009–2015. Rapport 4/2017 Skogsstyrelsen, Jönköping).</w:t>
      </w:r>
    </w:p>
    <w:p>
      <w:r>
        <w:rPr>
          <w:b/>
        </w:rPr>
        <w:t xml:space="preserve">6.4.3 </w:t>
      </w:r>
      <w:r>
        <w:t>Bevarandeåtgärder genomförs för de kända förekomster av rödlistade arter som påverkas av skogsbruk.</w:t>
      </w:r>
    </w:p>
    <w:p>
      <w:pPr>
        <w:pStyle w:val="ListBullet"/>
      </w:pPr>
      <w:r>
        <w:rPr>
          <w:b/>
          <w:i/>
        </w:rPr>
        <w:t xml:space="preserve">Kommentar: </w:t>
      </w:r>
      <w:r>
        <w:rPr>
          <w:i/>
        </w:rPr>
        <w:t>I det avverkningsanmälda skogsområdet har 44 naturvårdsarter varav 18 rödlistade arter sina livsmiljöer och växtplatser.</w:t>
      </w:r>
    </w:p>
    <w:p>
      <w:pPr>
        <w:pStyle w:val="Heading2"/>
      </w:pPr>
      <w:r>
        <w:t>Ur Chain of Custody Certification (FSC-STD-40-004 ver 3.0)</w:t>
      </w:r>
    </w:p>
    <w:p>
      <w:r>
        <w:rPr>
          <w:b/>
        </w:rPr>
        <w:t xml:space="preserve">1.3 </w:t>
      </w:r>
      <w:r>
        <w:t xml:space="preserve">The organization shall commit to the FSC values as defined in FSC-POL-01-004 Policy for the Association of Organizations with FSC. </w:t>
      </w:r>
    </w:p>
    <w:p>
      <w:pPr>
        <w:pStyle w:val="Heading2"/>
      </w:pPr>
      <w:r>
        <w:t>Ur FSC:s policy för associerade organisationer (FSC-POL-01-004)</w:t>
      </w:r>
    </w:p>
    <w:p>
      <w:r>
        <w:t xml:space="preserve">Som “Chain of Custody”-certifierad organisation är skogsbolaget bunden av de fastställda reglerna i Del 1 Punkt 1 c) i Policy för organisationer associerade med FSC (FSC-POL-01-004 V2-0 EN + SVE version 2012-03-02): </w:t>
      </w:r>
    </w:p>
    <w:p>
      <w:pPr>
        <w:pStyle w:val="ListNumber"/>
      </w:pPr>
      <w:r>
        <w:t>De organisationer FSC kan acceptera association med får inte direkt eller indirekt ha några kopplingar till nedanstående, oacceptabla aktiviteter:</w:t>
      </w:r>
    </w:p>
    <w:p>
      <w:pPr>
        <w:ind w:left="357"/>
      </w:pPr>
      <w:r>
        <w:t>a) Olaglig skogsavverkning och handel med olagligt avverkat virke eller skogsprodukter</w:t>
      </w:r>
    </w:p>
    <w:p>
      <w:pPr>
        <w:ind w:left="357"/>
      </w:pPr>
      <w:r>
        <w:t>...</w:t>
      </w:r>
    </w:p>
    <w:p>
      <w:pPr>
        <w:ind w:left="357"/>
      </w:pPr>
      <w:r>
        <w:t>c) Skogsbruk som förstör höga naturvärden</w:t>
      </w:r>
    </w:p>
    <w:p>
      <w:pPr>
        <w:ind w:left="357"/>
      </w:pPr>
      <w:r>
        <w:t>d) Betydande omvandling av skog till plantager eller annan, icke skoglig, markanvändning</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2"/>
      </w:pPr>
      <w:r>
        <w:t>Ur FSC Controlled Wood (FSC-STD-40-005)</w:t>
      </w:r>
    </w:p>
    <w:p>
      <w:r>
        <w:t>Virke som inte accepteras i FSC-märkta produkter (oacceptabelt ursprung) enligt FSC Controlled Wood (FSC-STD-40-005):</w:t>
      </w:r>
    </w:p>
    <w:p>
      <w:pPr>
        <w:pStyle w:val="ListNumber"/>
      </w:pPr>
      <w:r>
        <w:t>Illegalt avverkat virke.</w:t>
      </w:r>
    </w:p>
    <w:p>
      <w:pPr>
        <w:pStyle w:val="ListNumber"/>
      </w:pPr>
      <w:r>
        <w:t>...</w:t>
      </w:r>
    </w:p>
    <w:p>
      <w:pPr>
        <w:pStyle w:val="ListNumber"/>
      </w:pPr>
      <w:r>
        <w:t>Virke från avverkningar som hotar höga naturvärden.</w:t>
      </w:r>
    </w:p>
    <w:p>
      <w:pPr>
        <w:pStyle w:val="ListNumber"/>
      </w:pPr>
      <w:r>
        <w:t>Virke från skog som konverteras till plantager eller icke-skogligt bruk.</w:t>
      </w:r>
    </w:p>
    <w:p>
      <w:pPr>
        <w:pStyle w:val="ListBullet"/>
      </w:pPr>
      <w:r>
        <w:rPr>
          <w:b/>
          <w:i/>
        </w:rPr>
        <w:t xml:space="preserve">Kommentar: </w:t>
      </w:r>
      <w:r>
        <w:rPr>
          <w:i/>
        </w:rPr>
        <w:t>Avverkning av skog med höga naturvärden samt skada på fridlysta arter strider både mot FSC Controlled Wood-standarden och FSC:s policy for associerade organisationer.</w:t>
      </w:r>
    </w:p>
    <w:p>
      <w:pPr>
        <w:pStyle w:val="Heading1"/>
      </w:pPr>
      <w:r>
        <w:t>Ur PEFC-standarden gällande lagefterlevnad</w:t>
      </w:r>
    </w:p>
    <w:p>
      <w:r>
        <w:t>PEFC-standarden förutsätter att tillämplig svensk lagstiftning följs. Det är utsedd tillsynsmyndighet som ansvarar för tillsyn av lagens efterlevnad. PEFC-standarden återger innehållet i vissa certifieringskritiska lag- och föreskriftskrav vilka ska ingå i granskning av PEFC-systemets efterlevnad.</w:t>
      </w:r>
    </w:p>
    <w:p>
      <w:pPr>
        <w:pStyle w:val="ListBullet"/>
      </w:pPr>
      <w:r>
        <w:rPr>
          <w:b/>
          <w:i/>
        </w:rPr>
        <w:t xml:space="preserve">Kommentar: </w:t>
      </w:r>
      <w:r>
        <w:rPr>
          <w:i/>
        </w:rPr>
        <w:t>I den avverkningsanmälda skogen har fridlysta arter sina livsmiljöer och växtplatser. Att skada de fridlysta arternas livsmiljöer, växtplatser eller ekologiska funktion är inte tillåtet enligt artskyddsförordningen</w:t>
      </w:r>
    </w:p>
    <w:p>
      <w:r>
        <w:br w:type="page"/>
      </w:r>
    </w:p>
    <w:p>
      <w:pPr>
        <w:pStyle w:val="Title"/>
      </w:pPr>
      <w:r>
        <w:t>BILAGA 1 –</w:t>
        <w:br/>
        <w:t>Fridlysta och rödlistade arter</w:t>
      </w:r>
    </w:p>
    <w:p>
      <w:pPr>
        <w:pStyle w:val="Heading1"/>
      </w:pPr>
      <w:r>
        <w:t>Grön sköldmossa – ekologi samt krav på livsmiljön</w:t>
      </w:r>
    </w:p>
    <w:p>
      <w:r>
        <w:t>Grön sköldmossa, fridlyst enligt 8§ artskyddsförordningen, växer på stubbar och lågor av olika trädslag, huvudsakligen i sena nedbrytningsstadier och på och mellan grova rötter av levande och döda träd. Den förekommer i Sverige främst i näringsrika granskogar med stort inslag av löv, arten är kortlivad och antalet kapslar varierar kraftigt mellan olika år (SLU Artdatabanken, 2021). Grön sköldmossa kräver skog som har ett speciellt mikroklimat med hög och jämn luftfuktighet i kombination med rik tillgång på död ved (Nitare, 2019). I praktiken handlar det om åtminstone 50 meter med skyddande skog för att undvika uttorkning av marken (Hallingbäck, personligt meddelande 2022-02-24).</w:t>
      </w:r>
    </w:p>
    <w:p>
      <w:r>
        <w:t>Arten har sin huvudutbredning i sydöstra Sverige (SLU Artdatabanken, 2021). Allvarligaste hoten mot arten är skogsavverkning och brist på död ved. Brist på naturligt döda träd i dagens produktionsskogar gör att arten blir allt sällsyntare (Hallingbäck, 2016). Död ved i större mängd bör lämnas och träd tillåtas åldras och dö för att skapa kontinuerlig tillgång på livsmiljöer. Träd och livsmiljö bör skyddas genom att lämna trädgrupper, ytor eller zoner (SLU Artdatabanken, 2021).</w:t>
      </w:r>
    </w:p>
    <w:p>
      <w:r>
        <w:t>Grön sköldmossa är upptagen i EU:s Habitatdirektiv bilaga 2 vilket innebär att det  finns ett uttalat intresse inom Europeiska unionen att bevara arten. Grön sköldmossa är en ansvarsart för Sverige då en särskilt stor andel av Europas population finns i landet. Förutom i östra Sverige har arten inga större sammanhängande utbredningar med gynnsam bevarandestatus söderut i Europa förrän i Montenegro. Det finns enbart liten förekomst med gynnsam regional bevarandestatus i södra Frankrike och södra Polen. Grön sköldmossa är typisk art för 9010 Taiga och 9750 Svämlövskog (Natura 2000) och omfattas även av Bernkonventionen bilaga 1.</w:t>
      </w:r>
    </w:p>
    <w:p>
      <w:r>
        <w:t>Fridlysningen enligt §§ 8 och 15 Artskyddsförordningen innebär att det är förbjudet att på något sätt skada exemplar av arten. Artskyddsförordning (2007:845):</w:t>
      </w:r>
    </w:p>
    <w:p>
      <w:pPr>
        <w:pStyle w:val="ListBullet"/>
      </w:pPr>
      <w:r>
        <w:t>8 § I fråga om sådana vilt levande kärlväxter, mossor, lavar, svampar och alger som anges i bilaga 2 till denna förordning är det förbjudet att i den omfattning som framgår av bilagan 1. plocka, gräva upp eller på annat sätt ta bort eller skada exemplar av växterna, och 2. ta bort eller skada frön eller andra delar.</w:t>
      </w:r>
    </w:p>
    <w:p>
      <w:pPr>
        <w:pStyle w:val="ListBullet"/>
      </w:pPr>
      <w:r>
        <w:t>15 § Länsstyrelsen får i det enskilda fallet ge dispens från förbuden i 6, 8 och 9 §§ som avser länet eller del av länet, om det inte finns någon annan lämplig lösning och dispensen inte försvårar upprätthållandet av en gynnsam bevarandestatus hos artens bestånd i dess naturliga utbredningsområde.</w:t>
      </w:r>
    </w:p>
    <w:p>
      <w:r>
        <w:t>Grön sköldmossa är även listad som B i Artskyddsförordningen vilket innebär att den är en art av unionsintresse:</w:t>
      </w:r>
    </w:p>
    <w:p>
      <w:pPr>
        <w:pStyle w:val="ListBullet"/>
      </w:pPr>
      <w:r>
        <w:t>B: Arten har enligt fågeldirektivet eller art- och habitatdirektivet ett sådant unionsintresse att särskilda skyddsområden (fågeldirektivet) eller bevarandeområden (art- och habitatdirektivet) behöver utses. Arten finns upptagen i bilaga 1 till fågeldirektivet eller bilaga 2 till art- och habitatdirektivet.</w:t>
      </w:r>
    </w:p>
    <w:p>
      <w:r>
        <w:t>Mark- och miljööverdomstolen (MÖD) har i mål nr M 2019-20 (18 februari 2019) slagit fast att grön sköldmossa (§8) är dispenspliktig och att exemplar av arten inte får skadas utan dispens (MÖD, mål nr M 2019-20).</w:t>
      </w:r>
    </w:p>
    <w:p>
      <w:pPr>
        <w:pStyle w:val="Heading2"/>
      </w:pPr>
      <w:r>
        <w:t>Referenser – grön sköldmossa</w:t>
      </w:r>
    </w:p>
    <w:p>
      <w:r>
        <w:t xml:space="preserve">Hallingbäck T., 2016. </w:t>
      </w:r>
      <w:r>
        <w:rPr>
          <w:i/>
        </w:rPr>
        <w:t xml:space="preserve">Mossor en fältguide. </w:t>
      </w:r>
      <w:r>
        <w:t>Naturcentrum.</w:t>
      </w:r>
    </w:p>
    <w:p>
      <w:r>
        <w:t xml:space="preserve">Hallingbäck T., 2022. </w:t>
      </w:r>
      <w:r>
        <w:rPr>
          <w:i/>
        </w:rPr>
        <w:t xml:space="preserve">Personligt meddelande 2022-02-24. </w:t>
      </w:r>
      <w:r>
        <w:t>SLU Artdatabanken. Se nedan.</w:t>
      </w:r>
    </w:p>
    <w:p>
      <w:r>
        <w:t xml:space="preserve">Mark- och miljööverdomstolen. </w:t>
      </w:r>
      <w:r>
        <w:rPr>
          <w:i/>
        </w:rPr>
        <w:t xml:space="preserve">Dom 18 februari 2019 i mål nr M 2019-20 </w:t>
      </w:r>
      <w:r>
        <w:t>(MÖD, mål nr M 2019-20)</w:t>
      </w:r>
    </w:p>
    <w:p>
      <w:r>
        <w:t xml:space="preserve">Nitare, J., 2019. </w:t>
      </w:r>
      <w:r>
        <w:rPr>
          <w:i/>
        </w:rPr>
        <w:t xml:space="preserve">Skyddsvärd skog – Naturvårdsarter och andra kriterier för naturvärdesbedömning. </w:t>
      </w:r>
      <w:r>
        <w:t>Skogsstyrelsen.</w:t>
      </w:r>
    </w:p>
    <w:p>
      <w:r>
        <w:t xml:space="preserve">SLU Artdatabanken, 2021. </w:t>
      </w:r>
      <w:r>
        <w:rPr>
          <w:i/>
        </w:rPr>
        <w:t xml:space="preserve">Artfaktablad. Naturvård – artfakta. </w:t>
      </w:r>
      <w:r>
        <w:t>SLU Artdatabanken, Uppsala</w:t>
      </w:r>
    </w:p>
    <w:p>
      <w:r>
        <w:t>Hallingbäck, personligt meddelande 2022-02-24</w:t>
      </w:r>
    </w:p>
    <w:p>
      <w:pPr>
        <w:jc w:val="left"/>
      </w:pPr>
      <w:r>
        <w:t>Från: Tomas Hallingbäck &lt;Tomas.Hallingback@slu.se&gt;</w:t>
        <w:br/>
        <w:t>Date: tors 24 feb. 2022 kl 17:49</w:t>
        <w:br/>
        <w:t>Subject: Re: Grön sköldmossa</w:t>
        <w:br/>
        <w:t>To: Magnus Kasselstrand &lt;magnus.kasselstrand@gmail.com&gt;</w:t>
      </w:r>
    </w:p>
    <w:p>
      <w:r>
        <w:t>Hej Magnus,</w:t>
      </w:r>
    </w:p>
    <w:p>
      <w:r>
        <w:t>Tyvärr finns inga studier på just detta, men uttorkning av underlaget är en starkt negativ faktor för grön sköldmossa, och jag brukar hänvisa till lokalklimatiska studier som visar att skyddskappan för att förhindra uttorkning av marken ligger på minst tre trädlängder skog (för plan mark), kortare för kuperad terräng, och detta blir i praktiken åtminstone 50 meter.</w:t>
      </w:r>
    </w:p>
    <w:p>
      <w:r>
        <w:t>MVH</w:t>
        <w:br/>
        <w:t>Tomas Hallingbäck</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Mindre märgborre – ekologi samt krav på livsmiljön</w:t>
      </w:r>
    </w:p>
    <w:p>
      <w:r>
        <w:t xml:space="preserve">Mindre märgborre är en signalart för tallskog med höga naturvärden och kan lätt konstateras genom sina karaktäristiska måsvingeliknande gnagspår som ofta hittas på grova tallgrenar på marken. Mindre märgborre betraktas tillsammans med skarptandad barkborre (NT) som nyckelarter, eftersom en rad sällsynta efterföljande arter är beroende av deras gångsystem. Bland dessa kan nämnas åtgärdsprogramsarterna avlång barkborre (VU), </w:t>
      </w:r>
      <w:r>
        <w:rPr>
          <w:i/>
        </w:rPr>
        <w:t>Corticeus longulus</w:t>
      </w:r>
      <w:r>
        <w:t xml:space="preserve"> (VU), tallbarksvartbagge (VU), tallgångbagge (VU) och cholodkovskys bastborre (NT) (Pettersson, 2014; Gunnarsson m fl., 1999).</w:t>
      </w:r>
    </w:p>
    <w:p>
      <w:r>
        <w:t>Tallskogar tillhör de livsmiljöer som förändrats i stor skala, där många kvadratmil har omvandlats till unga produktionsskogar. I sådana skogar saknas förutsättningar för de ovannämnda sällsynta barkborrarna och alltmer kunskap tyder på att skogsbrukets omvandling av skogslandskapet, missgynnar åtgärdsprogrammets arter även inne i skyddade områden (Hedgren, 2012; Hedgren m.fl., 2010; Wikars m.fl., 2010; Wikars, 2009). Orsaken är sannolikt att dagens intensiva skogsbruk trivialiserar faunan på nydöda träd. Detta sker genom att generalister förökas upp i sådan grad i den brukade skogen att dessa även kommer att dominera i de för hållandevis små och fragmenterade områden som avsätts för naturvård (Appelqvist, 2005; Janzen, 1983; Ås, 1999).</w:t>
      </w:r>
    </w:p>
    <w:p>
      <w:r>
        <w:t>Ett tydligt exempel på en generalist som gynnas av dagens skogsbruk är större märgborre på nydöd tall. Denna utvecklas förutom i vindfällen gärna i avverkningsavfall, inklusive avverkningsstubbar och röjningsstammar. Därmed har den större märgborren möjlighet att upprätthålla stora och stabila populationer på huvuddelen av landets skogsmark, vilket leder till en trivialisering av faunan. Större märgborre inverkar sannolikt direkt negativt på arter som tolvtandad barkborre (EN) och avlång barkborre (VU), och indirekt på de som är gynnade av blånadssvampar, dvs. följearter till framförallt mindre märgborre och skarptandad barkborre (NT). De barkborrar som missgynnas av större märgborre är i mycket högre grad gynnade av tallar som dör genom självgallring, dvs. i normalfallet skog som inte används till skogsproduktion (Pettersson, 2014; Wikars, skriftl.).</w:t>
      </w:r>
    </w:p>
    <w:p>
      <w:r>
        <w:t>Rika förekomster av främst mindre märgborre men även skarptandad barkborre (NT) är en signal för artrikedom och inventeringar har visat att det är i skogar med en naturlig självgallring som det skapas förutsättningar för dessa arter samt de efterföljande åtgärdsprogramsarterna (Pettersson, 2014; Hedgren, 2012). Tallskogar med stark förekomst av mindre märgborre och skarptandad barkborre bör avsättas som reservat. Generellt bör hänsyn tas vid slutavverkning av talldominerad skog så att avverkningsrester som gren- och toppdelar (s.k. GROT) lämnas (Pettersson, 2014).</w:t>
      </w:r>
    </w:p>
    <w:p>
      <w:pPr>
        <w:pStyle w:val="Heading2"/>
      </w:pPr>
      <w:r>
        <w:t>Referenser – mindre märgborre</w:t>
      </w:r>
    </w:p>
    <w:p>
      <w:r>
        <w:t xml:space="preserve">Appelqvist, T., 2005. </w:t>
      </w:r>
      <w:r>
        <w:rPr>
          <w:i/>
        </w:rPr>
        <w:t>Naturvårdsbiologisk forskning. Underlag för områdesskydd i landskapet.</w:t>
      </w:r>
      <w:r>
        <w:t xml:space="preserve"> Naturvårdsverket, Rapport 5452.</w:t>
      </w:r>
    </w:p>
    <w:p>
      <w:r>
        <w:t xml:space="preserve">Gunnarsson, B., Pettersson, R. B., Hake, M. och Hultengren, S. &amp; Sjöberg, K., 1999. </w:t>
      </w:r>
      <w:r>
        <w:rPr>
          <w:i/>
        </w:rPr>
        <w:t xml:space="preserve">Spindlar och skalbaggar som indikatorer i barrskog. </w:t>
      </w:r>
      <w:r>
        <w:t>Skog &amp; Forskning, Nr. 2/99, s. 46–51.</w:t>
      </w:r>
    </w:p>
    <w:p>
      <w:r>
        <w:t xml:space="preserve">Hedgren, O., 2012. </w:t>
      </w:r>
      <w:r>
        <w:rPr>
          <w:i/>
        </w:rPr>
        <w:t>Hotade insekter på tallved i Dalarna.</w:t>
      </w:r>
      <w:r>
        <w:t xml:space="preserve"> Länsstyrelsen Dalarna, Naturvårdsenheten. Rapport 2012:16.</w:t>
      </w:r>
    </w:p>
    <w:p>
      <w:r>
        <w:t xml:space="preserve">Hedgren, O. 2010. </w:t>
      </w:r>
      <w:r>
        <w:rPr>
          <w:i/>
        </w:rPr>
        <w:t>Vedinsekter i tallskog och på brandfält i Värmland.</w:t>
      </w:r>
      <w:r>
        <w:t xml:space="preserve"> Länsstyrelsen Värmland, Stencil, 39 s.</w:t>
      </w:r>
    </w:p>
    <w:p>
      <w:r>
        <w:t xml:space="preserve">Janzen, D. H., 1983. </w:t>
      </w:r>
      <w:r>
        <w:rPr>
          <w:i/>
        </w:rPr>
        <w:t>No park is an island: Increase in interference from outside as park size decreases</w:t>
      </w:r>
      <w:r>
        <w:t>. Oikos 41: 402–410.</w:t>
      </w:r>
    </w:p>
    <w:p>
      <w:r>
        <w:t xml:space="preserve">Jonsell, M., Weslien, J. &amp; Ehn ström, B., 1998. </w:t>
      </w:r>
      <w:r>
        <w:rPr>
          <w:i/>
        </w:rPr>
        <w:t>Substrate requirements of red-listed saproxylic invertebrates in Sweden</w:t>
      </w:r>
      <w:r>
        <w:t>. Biodiversity and Conserv. 7: 749–764.</w:t>
      </w:r>
    </w:p>
    <w:p>
      <w:r>
        <w:t xml:space="preserve">Pettersson, R. B., 2014). </w:t>
      </w:r>
      <w:r>
        <w:rPr>
          <w:i/>
        </w:rPr>
        <w:t>Åtgärdsprogram för skalbaggar på nyligen död tall, 2014–2018.</w:t>
      </w:r>
      <w:r>
        <w:t xml:space="preserve"> Rapport 6599. Bromma: Naturvårdsverket.</w:t>
      </w:r>
    </w:p>
    <w:p>
      <w:r>
        <w:t xml:space="preserve">Wikars, L.-O., Hansson, J. &amp; Hedgren, O., 2010. </w:t>
      </w:r>
      <w:r>
        <w:rPr>
          <w:i/>
        </w:rPr>
        <w:t>Inventering av vedlevande skalbaggar – tallskogar i Örebro län.</w:t>
      </w:r>
      <w:r>
        <w:t xml:space="preserve"> Länsstyrelsen i Örebro län, publ.nr. 2010:2.</w:t>
      </w:r>
    </w:p>
    <w:p>
      <w:r>
        <w:t xml:space="preserve">Wikars, L.-O., 2009. </w:t>
      </w:r>
      <w:r>
        <w:rPr>
          <w:i/>
        </w:rPr>
        <w:t>Vedskalbaggar i Hamra nationalpark, Gävleborgs län.</w:t>
      </w:r>
      <w:r>
        <w:t xml:space="preserve"> Länsstyrelsen Gävleborg, Rapport 2009:14.</w:t>
      </w:r>
    </w:p>
    <w:p>
      <w:pPr>
        <w:pStyle w:val="Heading1"/>
      </w:pPr>
      <w:r>
        <w:t>Spillkråka – ekologi samt krav på livsmiljön</w:t>
      </w:r>
    </w:p>
    <w:p>
      <w:r>
        <w:t>Spillkråka (NT) är rödlistad som nära hotad, fridlyst enligt §4 Artskyddsförordningen och ingår i bilaga 1 i EU:s fågeldirektiv. Spillkråka lever i både barr- och blandskog liksom i ren lövskog. De tätaste populationerna tenderar att finnas i äldre, variationsrik blandskog med gott om död ved och gamla träd.</w:t>
      </w:r>
    </w:p>
    <w:p>
      <w:r>
        <w:t>Varje par utnyttjar 400–1000 hektar skog beroende på skogens kvalitet. En minskning av populationen pågår på grund av minskad tillgång på lämpliga bo- och födoträd och minskad födotillgång. Spillkråkans minskningstakt har uppgått till 19 (24–10) % under de senaste 15 åren. Minskningstakten för den svenska populationen bedöms vara nära gränsvärdet för Sårbar (VU) (A2bc). Skogsbruk med korta omloppstider och täta, homogena ungskogar utgör det största hotet (Artdatabanken 2023).</w:t>
      </w:r>
    </w:p>
    <w:p>
      <w:pPr>
        <w:pStyle w:val="Heading2"/>
      </w:pPr>
      <w:r>
        <w:t>Referenser – spillkråka</w:t>
      </w:r>
    </w:p>
    <w:p>
      <w:r>
        <w:t xml:space="preserve">SLU Artdatabanken, 2021. </w:t>
      </w:r>
      <w:r>
        <w:rPr>
          <w:i/>
        </w:rPr>
        <w:t xml:space="preserve">Artfaktablad. Naturvård – artfakta. </w:t>
      </w:r>
      <w:r>
        <w:t>SLU Artdatabanken, Uppsala</w:t>
      </w:r>
    </w:p>
    <w:p>
      <w:pPr>
        <w:pStyle w:val="Heading1"/>
      </w:pPr>
      <w:r>
        <w:t>Talltita – ekologi samt krav på livsmiljön</w:t>
      </w:r>
    </w:p>
    <w:p>
      <w:r>
        <w:t>Talltita är rödlistad som NT, fridlyst och prioriterad art i Skogsvårdslagen. Den omfattas av EU:s fågeldirektiv. Arten har minskat kraftigt de senaste 30 åren och minskningstakten innevarande 10-årsperiod beräknas till 20 (10–30) % (SLU Artdatabanken, 2022).</w:t>
      </w:r>
    </w:p>
    <w:p>
      <w:r>
        <w:t>Talltita föredrar större sammanhängande barrskogar, och finns såväl i tallskog som granskog och i lövblandad barrskog. Skogens struktur är viktig och ska helst vara flerskiktad med riklig underväxt av mindre granar, björk och andra lövträd och buskar. Tillgång på murknande högstubbar är särskilt viktig, eftersom talltitan helst själv hackar ut sitt bohål (SLU Artdatabanken, 2022).</w:t>
      </w:r>
    </w:p>
    <w:p>
      <w:r>
        <w:t>Det finns flera studier som visar att talltita är känslig för gallring och inte överlever när dess livsmiljö kalavverkas (Eggers and Low, 2014; Griesser et al., 2007; Klein, 2020). Talltitans revir är förhållandevis stora, 10–20 hektar och arten missgynnas när skogen fragmenteras. Kalavverkning av större delar av reviret innebär att det överges (Artdatabanken, 2021).</w:t>
      </w:r>
    </w:p>
    <w:p>
      <w:r>
        <w:t>Talltitan är synnerligen trogen sitt revir så länge paret lever och biotopen förblir intakt. Paret stannar i sitt revir året om. En förlust av ett revir har därför en stor inverkan på den lokala populationen och trakthyggesbruket anses vara orsak till den svenska populationens kraftiga minskning. Talltiteparets revirtrohet innebär att närhelst under året man observerar en adult talltita så ingår denna plats i reviret (Siffczyk et al., 2003; Ekman, 1979).</w:t>
      </w:r>
    </w:p>
    <w:p>
      <w:pPr>
        <w:pStyle w:val="Heading2"/>
      </w:pPr>
      <w:r>
        <w:t>Referenser – talltita</w:t>
      </w:r>
    </w:p>
    <w:p>
      <w:r>
        <w:t xml:space="preserve">Eggers, S., Low, M., 2014. </w:t>
      </w:r>
      <w:r>
        <w:rPr>
          <w:i/>
        </w:rPr>
        <w:t xml:space="preserve">Differential demographic responses of sympatric Parids to vegetation management in boreal forest. </w:t>
      </w:r>
      <w:r>
        <w:t>For. Ecol. Manage. 319, 169–175.</w:t>
      </w:r>
    </w:p>
    <w:p>
      <w:r>
        <w:t xml:space="preserve">Ekman, J., 1979. </w:t>
      </w:r>
      <w:r>
        <w:rPr>
          <w:i/>
        </w:rPr>
        <w:t xml:space="preserve">Coherence, composition and territories of winter social groups of the Willow Tit Parus montanus and the Crested Tit P. cristatus. </w:t>
      </w:r>
      <w:r>
        <w:t>Ornis Scandinavica, 10, pp 56–68</w:t>
      </w:r>
    </w:p>
    <w:p>
      <w:r>
        <w:t xml:space="preserve">Griesser, M., Nystrand, M., Eggers, S., Ekman, J., 2007. </w:t>
      </w:r>
      <w:r>
        <w:rPr>
          <w:i/>
        </w:rPr>
        <w:t xml:space="preserve">Impact of forestry practices on fitness correlates and population productivity in an open-nesting bird species. </w:t>
      </w:r>
      <w:r>
        <w:t>Conserv. Biol. 21, 767–774. https://doi.org/10.1111/j.1523- 1739.2007.00675.x</w:t>
      </w:r>
    </w:p>
    <w:p>
      <w:r>
        <w:t xml:space="preserve">Klein, J., 2020. </w:t>
      </w:r>
      <w:r>
        <w:rPr>
          <w:i/>
        </w:rPr>
        <w:t xml:space="preserve">The forgotten forest – On thinning, retention, and biodiversity in the boreal forest. </w:t>
      </w:r>
      <w:r>
        <w:t>Doctoral Thesis No. 2020:50</w:t>
      </w:r>
    </w:p>
    <w:p>
      <w:r>
        <w:t xml:space="preserve">Siffczyk, C., Brotons, L., Kangas, K., Orell, M., 2003. </w:t>
      </w:r>
      <w:r>
        <w:rPr>
          <w:i/>
        </w:rPr>
        <w:t xml:space="preserve">Home range size of willow tits. </w:t>
      </w:r>
      <w:r>
        <w:t>Oecologica, 136, 635–642 (2003)</w:t>
      </w:r>
    </w:p>
    <w:p>
      <w:r>
        <w:t xml:space="preserve">SLU Artdatabanken, 2021.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2025-10-26</w:t>
      <w:br/>
      <w:br/>
    </w:r>
    <w:r>
      <w:t>Till:</w:t>
      <w:br/>
    </w:r>
    <w:r>
      <w:t>Kopia: Revisor xx och FSC</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