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40568-2023 i Vallentuna kommun</w:t>
      </w:r>
    </w:p>
    <w:p>
      <w:r>
        <w:t>Detta dokument behandlar höga naturvärden i avverkningsanmälan A 40568-2023 i Vallentuna kommun. Denna avverkningsanmälan inkom 2023-08-30 00:00:00 och omfattar 4,6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45 naturvårdsarter hittats: blackticka (VU), grangråticka (VU), knärot (VU, §8), vågticka (VU), brunpudrad nållav (NT), druvfingersvampar (NT), granticka (NT), gränsticka (NT), gul taggsvamp (NT), gultoppig fingersvamp (NT), loppstarr (NT), orange taggsvamp (NT), rosenticka (NT), spillkråka (NT, §4), tallticka (NT), talltita (NT, §4), ullticka (NT), vedtrappmossa (NT), fjällig taggsvamp s.str. (S), grön sköldmossa (S, §8), grönpyrola (S), kattfotslav (S), kornig nållav (S), kryddspindling (S), mindre märgborre (S), mörk husmossa (S), rödgul trumpetsvamp (S), skarp dropptaggsvamp (S), skogshakmossa (S), spindelblomster (S, §8), strimspindling (S), stubbspretmossa (S), svavelriska (S), tjockfotad fingersvamp (S), trådticka (S), vedticka (S), vågbandad barkbock (S), zontaggsvamp (S), kungsfågel (§4), tjäder (§4), kopparödla (§6), lopplummer (aggregat) (§9), mattlummer (§9), revlummer (§9) och äkta lopplummer (§9). Av dessa är 18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34946"/>
            <wp:docPr id="1" name="Picture 1"/>
            <wp:cNvGraphicFramePr>
              <a:graphicFrameLocks noChangeAspect="1"/>
            </wp:cNvGraphicFramePr>
            <a:graphic>
              <a:graphicData uri="http://schemas.openxmlformats.org/drawingml/2006/picture">
                <pic:pic>
                  <pic:nvPicPr>
                    <pic:cNvPr id="0" name="A 40568-2023 karta.png"/>
                    <pic:cNvPicPr/>
                  </pic:nvPicPr>
                  <pic:blipFill>
                    <a:blip r:embed="rId16"/>
                    <a:stretch>
                      <a:fillRect/>
                    </a:stretch>
                  </pic:blipFill>
                  <pic:spPr>
                    <a:xfrm>
                      <a:off x="0" y="0"/>
                      <a:ext cx="5486400" cy="31349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6616725, E 685376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 xml:space="preserve">Druvfingersvampar </w:t>
      </w:r>
      <w:r>
        <w:t>utgör ett artkomplex</w:t>
      </w:r>
      <w:r>
        <w:rPr>
          <w:b/>
        </w:rPr>
        <w:t xml:space="preserve"> </w:t>
      </w:r>
      <w:r>
        <w:t xml:space="preserve">med en liten grupp rödlistade och snarlika arter; </w:t>
      </w:r>
      <w:r>
        <w:rPr>
          <w:i/>
        </w:rPr>
        <w:t>Ramaria parabotrytis</w:t>
      </w:r>
      <w:r>
        <w:t xml:space="preserve"> (EN), </w:t>
      </w:r>
      <w:r>
        <w:rPr>
          <w:i/>
        </w:rPr>
        <w:t>Ramaria aff. Strasseri</w:t>
      </w:r>
      <w:r>
        <w:t xml:space="preserve"> (EN), </w:t>
      </w:r>
      <w:r>
        <w:rPr>
          <w:i/>
        </w:rPr>
        <w:t>Ramaria aff. Rubrievanescens</w:t>
      </w:r>
      <w:r>
        <w:t xml:space="preserve"> (VU), </w:t>
      </w:r>
      <w:r>
        <w:rPr>
          <w:i/>
        </w:rPr>
        <w:t>Ramaria flavissima</w:t>
      </w:r>
      <w:r>
        <w:t xml:space="preserve"> (NT) och </w:t>
      </w:r>
      <w:r>
        <w:rPr>
          <w:i/>
        </w:rPr>
        <w:t>Ramaria botrytis</w:t>
      </w:r>
      <w:r>
        <w:t xml:space="preserve"> (NT). Arterna växer i skogar med lång skoglig kontinuitet och uppträder gärna på ytor med tunna humuslager och blottad mineraljord, t.ex. i sluttningar eller i närheten av stigar. Druvfingersvamparna är placerade högst upp i Skogsstyrelsens värdepyramid för bedömning av skog med höga naturvärden och all form av skogsavverkning innebär hot. De tål inte en slutavverkning och lokalerna bör undantas från rationella skogsbruksmetoder och inkluderas i formellt skyddad skog (SLU Artdatabanken, 2026; Nitare &amp; Skogsstyrelsen, 2019).</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Grangråticka (VU)</w:t>
      </w:r>
      <w:r>
        <w:t xml:space="preserve"> bildar mykorrhiza med gran och påträffas på kalkrik mark i örtrika granskogar med t.ex. blåsippa, harsyra och ekorrbär i fältskiktet. Arten är beroende av långvarig kontinuitet av äldre gran och tål ingen slutavverkning (kalhuggning). Lokaler med grangråticka är alltid skyddsvärda och bör skötas med stor varsamhet. Grangråticka är typisk art för </w:t>
      </w:r>
      <w:r>
        <w:rPr>
          <w:i/>
        </w:rPr>
        <w:t>9050 Näringsrik granskog</w:t>
      </w:r>
      <w:r>
        <w:t xml:space="preserve"> (SLU Artdatabanken, 2024; Nitare &amp; Skogsstyrelsen, 2019).</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Gul taggsvamp (VU) </w:t>
      </w:r>
      <w:r>
        <w:t xml:space="preserve">bildar mykorrhiza med gran i äldre barrskog med lång kontinuitet. Förekommer på kalkrik eller annan basiskt påverkad mark, ofta i källpåverkade miljöer. Den totala populationen i landet har minskat kraftigt och bedöms fortsätta minska till följd av avverkning av äldre barrskog med lång trädkontinuitet. Minskningstakten överstiger gränsvärdet för sårbar (VU). Arten tål inte en slutavverkning utan kräver ett kontinuerligt äldre trädskikt med gran. Slutavverkning, kraftig gallring och skogsmarksgödsling måste helt undvikas och lokalerna bör skyddas formellt. Gul taggsvamp är typisk art för </w:t>
      </w:r>
      <w:r>
        <w:rPr>
          <w:i/>
        </w:rPr>
        <w:t>9050 Näringsrik granskog</w:t>
      </w:r>
      <w:r>
        <w:t xml:space="preserve"> (SLU Artdatabanken, 2026).</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 xml:space="preserve">Kornig nållav </w:t>
      </w:r>
      <w:r>
        <w:t xml:space="preserve">förekommer i skuggiga miljöer med hög luftfuktighet och påträffas främst i gamla skogar eller på gamla träd. Den signalerar höga naturvärden och på lokalerna finns ofta flera ovanliga och rödlistade arter. Kornig nållav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Kryddspindling (NT)</w:t>
      </w:r>
      <w:r>
        <w:t xml:space="preserve"> signalerar örtrika granskogar som normalt har höga naturvärden. Oftast växer den i äldre granskog på kalkrikt underlag och svampen är en mycket användbar signalart för denna miljö. Den utgör en viktig karaktärsart för all äldre kalkbarrskog med lång trädkontinuitet av gran. På lokalerna förekommer nästan alltid många ovanliga och rödlistade arter. Den totala populationen i landet har minskat och bedöms fortsätta minska till följd av avverkning av äldre barrskogar. Kryddspindling är typisk art för </w:t>
      </w:r>
      <w:r>
        <w:rPr>
          <w:i/>
        </w:rPr>
        <w:t xml:space="preserve">9050 Näringsrik granskog </w:t>
      </w:r>
      <w:r>
        <w:t>(Nitare &amp; Skogsstyrelsen, 2000; SLU Artdatabanken, 2026).</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Skogshakmossa</w:t>
      </w:r>
      <w:r>
        <w:t xml:space="preserve"> indikerar lokaler som ofta har en artrik mossflora som kräver jämn och hög markfuktighet, till exempel olika sumpskogar med höga naturvärden. Högst signalvärde har arten i södra och mellersta Sverige. Skogshakmossa är typisk art för </w:t>
      </w:r>
      <w:r>
        <w:rPr>
          <w:i/>
        </w:rPr>
        <w:t xml:space="preserve">9010 Taiga, 9050 Näringsrik granskog, 9080 Lövsumpskog </w:t>
      </w:r>
      <w:r>
        <w:t xml:space="preserve">och </w:t>
      </w:r>
      <w:r>
        <w:rPr>
          <w:i/>
        </w:rPr>
        <w:t xml:space="preserve">9750 Svämlövskog </w:t>
      </w:r>
      <w:r>
        <w:t>(Nitare &amp; Skogsstyrelsen, 2019; SLU Artdatabanken, 2025).</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Tjockfotad fingersvamp (NT) </w:t>
      </w:r>
      <w:r>
        <w:t>bildar mykorrhiza med gran, eventuellt även med tall, i örtrika kalkbarrskogar, samt med bok och ek i ädellövskog på kalkrik mark. Den totala populationen i landet bedöms ha minskat under de senaste 50 åren och förväntas fortsätta minska, främst på grund av slutavverkning av äldre barrskog. Minskningstakten för den svenska populationen bedöms vara nära gränsvärdet för sårbar (VU). Slutavverkning, gödsling eller exploatering måste undvikas (SLU Artdatabanken, 2026).</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 xml:space="preserve">Vågticka (NT) </w:t>
      </w:r>
      <w:r>
        <w:t>förekommer främst i rikare kontinuitetsskogar med mycket död ved. Den växer på grova lågor och stubbar av gran och asp, men ibland även på andra trädslag.  Arten missgynnas av slutavverkning av äldre barrskog med lång skoglig kontinuitet, men även av skogliga åtgärder som t.ex. markberedning som förstör lågor. Minskningstakten för den svenska populationen bedöms vara nära gränsvärdet för sårbar (VU) (SLU Artdatabanken, 2026).</w:t>
      </w:r>
    </w:p>
    <w:p>
      <w:pPr>
        <w:pStyle w:val="Heading1"/>
      </w:pPr>
      <w:r>
        <w:t>Fridlysta arter</w:t>
      </w:r>
    </w:p>
    <w:p>
      <w:r>
        <w:t>Följande fridlysta arter har sina livsmiljöer och växtplatser i den avverkningsanmälda skogen: knärot (VU, §8), spillkråka (NT, §4), talltita (NT, §4), grön sköldmossa (S, §8), spindelblomster (S, §8), kungsfågel (§4), tjäder (§4), kopparödla (§6), lopplummer (aggregat) (§9), mattlummer (§9), revlummer (§9) och äkta lopplummer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86 fyndplatser för knärot registrerade på Artportalen. Figur 2 visar gränserna för buffertzoner på 50 m, som behöver lämnas kring fyndplatserna för att knärotslokalerna inte ska försvinna vid en avverkning. Av det avverkningsanmälda området överlappar 4.62 ha med buffertzonerna och får av detta skäl inte avverkas.</w:t>
      </w:r>
    </w:p>
    <w:p>
      <w:pPr>
        <w:pStyle w:val="Caption"/>
      </w:pPr>
      <w:r>
        <w:drawing>
          <wp:inline xmlns:a="http://schemas.openxmlformats.org/drawingml/2006/main" xmlns:pic="http://schemas.openxmlformats.org/drawingml/2006/picture">
            <wp:extent cx="5486400" cy="4321350"/>
            <wp:docPr id="2" name="Picture 2"/>
            <wp:cNvGraphicFramePr>
              <a:graphicFrameLocks noChangeAspect="1"/>
            </wp:cNvGraphicFramePr>
            <a:graphic>
              <a:graphicData uri="http://schemas.openxmlformats.org/drawingml/2006/picture">
                <pic:pic>
                  <pic:nvPicPr>
                    <pic:cNvPr id="0" name="A 40568-2023 karta knärot.png"/>
                    <pic:cNvPicPr/>
                  </pic:nvPicPr>
                  <pic:blipFill>
                    <a:blip r:embed="rId17"/>
                    <a:stretch>
                      <a:fillRect/>
                    </a:stretch>
                  </pic:blipFill>
                  <pic:spPr>
                    <a:xfrm>
                      <a:off x="0" y="0"/>
                      <a:ext cx="5486400" cy="432135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6616725, E 685376 i SWEREF 99 TM.</w:t>
      </w:r>
    </w:p>
    <w:p>
      <w:pPr>
        <w:pStyle w:val="Caption"/>
      </w:pPr>
    </w:p>
    <w:p>
      <w:r>
        <w:rPr>
          <w:b/>
        </w:rPr>
        <w:t>Mattlummer (§9)</w:t>
      </w:r>
      <w:r>
        <w:t xml:space="preserve"> är typisk art för </w:t>
      </w:r>
      <w:r>
        <w:rPr>
          <w:i/>
        </w:rPr>
        <w:t xml:space="preserve">9010 Taiga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38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45 naturvårdsarter varav 18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