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22172-2022 i Österåkers kommun</w:t>
      </w:r>
    </w:p>
    <w:p>
      <w:r>
        <w:t>Detta dokument behandlar höga naturvärden i avverkningsanmälan A 22172-2022 i Österåkers kommun. Denna avverkningsanmälan inkom 2022-05-31 00:00:00 och omfattar 3,7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kråka (NT, §4), nordfladdermus (NT, §4a), dvärgpipistrell (§4a) och större brunfladdermus (§4a).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59627"/>
            <wp:docPr id="1" name="Picture 1"/>
            <wp:cNvGraphicFramePr>
              <a:graphicFrameLocks noChangeAspect="1"/>
            </wp:cNvGraphicFramePr>
            <a:graphic>
              <a:graphicData uri="http://schemas.openxmlformats.org/drawingml/2006/picture">
                <pic:pic>
                  <pic:nvPicPr>
                    <pic:cNvPr id="0" name="A 22172-2022 karta.png"/>
                    <pic:cNvPicPr/>
                  </pic:nvPicPr>
                  <pic:blipFill>
                    <a:blip r:embed="rId16"/>
                    <a:stretch>
                      <a:fillRect/>
                    </a:stretch>
                  </pic:blipFill>
                  <pic:spPr>
                    <a:xfrm>
                      <a:off x="0" y="0"/>
                      <a:ext cx="5486400" cy="50596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6600362, E 691761 i SWEREF 99 TM.</w:t>
      </w:r>
    </w:p>
    <w:p>
      <w:pPr>
        <w:pStyle w:val="Heading1"/>
      </w:pPr>
      <w:r>
        <w:t>Fridlysta arter</w:t>
      </w:r>
    </w:p>
    <w:p>
      <w:r>
        <w:t>Följande fridlysta arter har sina livsmiljöer och växtplatser i den avverkningsanmälda skogen: kråka (NT, §4), nordfladdermus (NT, §4a), dvärgpipistrell (§4a) och större brunfladdermus (§4a).</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Större brunfladdermus (§4a)</w:t>
      </w:r>
      <w:r>
        <w:t xml:space="preserve"> omfattas av bilaga 4 EU:s art- och habitatdirektiv vilket innebär ett strikt skydd där arten och dess livsmiljöer ska bevaras. Den lever huvudsakligen i större skogsområden med gamla lövträdsbestånd, där den jagar i alla typer av öppna och halvöppna miljöer, ofta över stora sjöar och vattendrag, strandängar, betes- och slåttermarker. 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Gamla träd med grov bark, skador, håligheter eller döda delar bör lämnas och yngre träd (efterträdare) tillåtas finnas kvar och åldras för att säkra framtida förekomst av lämpliga yngelmiljöer. Övervintringsplatser måste skyddas effektivt från störningar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