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62642-2025 i Österåkers kommun</w:t>
      </w:r>
    </w:p>
    <w:p>
      <w:r>
        <w:t>Detta dokument behandlar höga naturvärden i avverkningsanmälan A 62642-2025 i Österåkers kommun. Denna avverkningsanmälan inkom 2025-12-17 08:55:56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7 naturvårdsarter hittats: grön aspvedbock (NT), björksplintborre (S), bronshjon (S), dvärgtufs (S), granbarkgnagare (S), mindre märgborre (S) och vågbandad barkbock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50995"/>
            <wp:docPr id="1" name="Picture 1"/>
            <wp:cNvGraphicFramePr>
              <a:graphicFrameLocks noChangeAspect="1"/>
            </wp:cNvGraphicFramePr>
            <a:graphic>
              <a:graphicData uri="http://schemas.openxmlformats.org/drawingml/2006/picture">
                <pic:pic>
                  <pic:nvPicPr>
                    <pic:cNvPr id="0" name="A 62642-2025 karta.png"/>
                    <pic:cNvPicPr/>
                  </pic:nvPicPr>
                  <pic:blipFill>
                    <a:blip r:embed="rId16"/>
                    <a:stretch>
                      <a:fillRect/>
                    </a:stretch>
                  </pic:blipFill>
                  <pic:spPr>
                    <a:xfrm>
                      <a:off x="0" y="0"/>
                      <a:ext cx="5486400" cy="53509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6605706, E 694751 i SWEREF 99 TM.</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Grön aspvedbock</w:t>
      </w:r>
      <w:r>
        <w:t xml:space="preserve"> är en skalbagge vars larvutveckling sker under tjock bark på nyligen döda stammar och grova grenar (&gt;5 cm diameter) av lövträd, i Sverige nästan uteslutande asp. Fullbildade individer är skymnings- och nattaktiva och dras till ljus. Arten påverkas negativt av brist på grova eller gamla träd och det föreligger indikation på eller misstanke om populationsminskning. Minskningen avser kvalitén på artens habitat och antalet lokalområden (SLU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