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72176-2021 i Värmdö kommun</w:t>
      </w:r>
    </w:p>
    <w:p>
      <w:r>
        <w:t>Detta klagomål behandlar höga naturvärden i avverkningsanmälan A 72176-2021 i Värmdö kommun som inkom 2021-12-14 och omfattar 2,6 ha.</w:t>
      </w:r>
    </w:p>
    <w:p>
      <w:pPr>
        <w:pStyle w:val="Caption"/>
      </w:pPr>
      <w:r>
        <w:drawing>
          <wp:inline xmlns:a="http://schemas.openxmlformats.org/drawingml/2006/main" xmlns:pic="http://schemas.openxmlformats.org/drawingml/2006/picture">
            <wp:extent cx="5486400" cy="5688134"/>
            <wp:docPr id="1" name="Picture 1"/>
            <wp:cNvGraphicFramePr>
              <a:graphicFrameLocks noChangeAspect="1"/>
            </wp:cNvGraphicFramePr>
            <a:graphic>
              <a:graphicData uri="http://schemas.openxmlformats.org/drawingml/2006/picture">
                <pic:pic>
                  <pic:nvPicPr>
                    <pic:cNvPr id="0" name="A 72176-2021 karta.png"/>
                    <pic:cNvPicPr/>
                  </pic:nvPicPr>
                  <pic:blipFill>
                    <a:blip r:embed="rId16"/>
                    <a:stretch>
                      <a:fillRect/>
                    </a:stretch>
                  </pic:blipFill>
                  <pic:spPr>
                    <a:xfrm>
                      <a:off x="0" y="0"/>
                      <a:ext cx="5486400" cy="568813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6583749, E 699826 i SWEREF 99 TM.</w:t>
      </w:r>
    </w:p>
    <w:p>
      <w:r>
        <w:t>Inom 10 meter från avverkningsanmälan finns fynd av 4 naturvårdsarter, varav 4 är signalarter (S): blodvaxing (S), luktvaxing (S), toppvaxing (S) och vitvaxing agg.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Luktvaxing </w:t>
      </w:r>
      <w:r>
        <w:t>växer mindre allmänt men lokalt ganska rikligt på naturbetsmark, även inne i rika lövlundar. Den är tydligt kalkgynnad och vanligast i kalktrakter. Lukten är speciell, påminnande om bärfis eller ekriska (</w:t>
      </w:r>
      <w:r>
        <w:rPr>
          <w:i/>
        </w:rPr>
        <w:t>Lactarius quietus</w:t>
      </w:r>
      <w:r>
        <w:t>). Arten är globalt rödlistad som sårbar (VU) vilket innebär att Sverige har ett internationellt ansvar för arten (SLU Artdatabanken, 2024; IUCN,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