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4779-2019 i Värmdö kommun</w:t>
      </w:r>
    </w:p>
    <w:p>
      <w:r>
        <w:t>Detta dokument behandlar höga naturvärden i avverkningsanmälan A 4779-2019 i Värmdö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fyrflikig jordstjärna (NT), grovticka (S), grön sköldmossa (S, §8), guldlockmossa (S), skogsknipprot (S, §8), stor aspticka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779-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6582517, E 695050 i SWEREF 99 TM.</w:t>
      </w:r>
    </w:p>
    <w:p>
      <w:pPr>
        <w:pStyle w:val="Heading1"/>
      </w:pPr>
      <w:r>
        <w:t>Fridlysta arter</w:t>
      </w:r>
    </w:p>
    <w:p>
      <w:r>
        <w:t>Följande fridlysta arter har sina livsmiljöer och växtplatser i den avverkningsanmälda skogen: duvhök (NT, §4), grön sköldmossa (S, §8), skogsknipprot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