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48658-2022 i Värmdö kommun</w:t>
      </w:r>
    </w:p>
    <w:p>
      <w:r>
        <w:t>Detta klagomål behandlar höga naturvärden i avverkningsanmälan A 48658-2022 i Värmdö kommun som inkom 2022-10-25 och omfattar 4,2 ha.</w:t>
      </w:r>
    </w:p>
    <w:p>
      <w:pPr>
        <w:pStyle w:val="Caption"/>
      </w:pPr>
      <w:r>
        <w:drawing>
          <wp:inline xmlns:a="http://schemas.openxmlformats.org/drawingml/2006/main" xmlns:pic="http://schemas.openxmlformats.org/drawingml/2006/picture">
            <wp:extent cx="5355897" cy="5724000"/>
            <wp:docPr id="1" name="Picture 1"/>
            <wp:cNvGraphicFramePr>
              <a:graphicFrameLocks noChangeAspect="1"/>
            </wp:cNvGraphicFramePr>
            <a:graphic>
              <a:graphicData uri="http://schemas.openxmlformats.org/drawingml/2006/picture">
                <pic:pic>
                  <pic:nvPicPr>
                    <pic:cNvPr id="0" name="A 48658-2022 karta.png"/>
                    <pic:cNvPicPr/>
                  </pic:nvPicPr>
                  <pic:blipFill>
                    <a:blip r:embed="rId16"/>
                    <a:stretch>
                      <a:fillRect/>
                    </a:stretch>
                  </pic:blipFill>
                  <pic:spPr>
                    <a:xfrm>
                      <a:off x="0" y="0"/>
                      <a:ext cx="5355897"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6573300, E 704186 i SWEREF 99 TM.</w:t>
      </w:r>
    </w:p>
    <w:p>
      <w:r>
        <w:t>I och inom 16 meter från avverkningsanmälan finns fynd av 4 naturvårdsarter, varav 3 är rödlistade, 2 är typiska (T) och 1 är signalart (S): ruttaggsvamp (EN), svartvit taggsvamp (NT), tallticka (NT, T)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Ruttaggsvamp (EN) </w:t>
      </w:r>
      <w:r>
        <w:t>är en sällsynt och starkt hotad mykorrhizasvamp knuten till tall på kalkrik mark. Arten är placerad högst upp i Skogsstyrelsens värdepyramid för bedömning av skog med höga naturvärden och tål inte en slutavverkning utan kräver ett kontinuerligt trädskikt med tall. Skogsområden med arten bör skyddas och undantas rationellt skogsbruk. Slutavverkning, kraftig gallring och skogsmarksgödsling måste helt undvikas. Ruttaggsvamp är globalt rödlistad som sårbar (VU) vilket innebär att Sverige har ett internationellt ansvar för arten (IUCN, 2025; SLU Artdatabanken, 2026;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