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29817-2021 i Värmdö kommun</w:t>
      </w:r>
    </w:p>
    <w:p>
      <w:r>
        <w:t>Detta dokument behandlar höga naturvärden i avverkningsanmälan A 29817-2021 i Värmdö kommun. Denna avverkningsanmälan inkom 2021-06-15 00:00:00 och omfattar 5,0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ryl (EN), svartvit flugsnappare (NT, §4), tallticka (NT), granbarkgnagare (S), grovticka (S), myskbock (S), stubbspretmossa (S) och blåsippa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50089"/>
            <wp:docPr id="1" name="Picture 1"/>
            <wp:cNvGraphicFramePr>
              <a:graphicFrameLocks noChangeAspect="1"/>
            </wp:cNvGraphicFramePr>
            <a:graphic>
              <a:graphicData uri="http://schemas.openxmlformats.org/drawingml/2006/picture">
                <pic:pic>
                  <pic:nvPicPr>
                    <pic:cNvPr id="0" name="A 29817-2021 karta.png"/>
                    <pic:cNvPicPr/>
                  </pic:nvPicPr>
                  <pic:blipFill>
                    <a:blip r:embed="rId16"/>
                    <a:stretch>
                      <a:fillRect/>
                    </a:stretch>
                  </pic:blipFill>
                  <pic:spPr>
                    <a:xfrm>
                      <a:off x="0" y="0"/>
                      <a:ext cx="5486400" cy="58500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6582108, E 692320 i SWEREF 99 TM.</w:t>
      </w:r>
    </w:p>
    <w:p>
      <w:r>
        <w:rPr>
          <w:b/>
        </w:rPr>
        <w:t>Grovticka</w:t>
      </w:r>
      <w:r>
        <w:t xml:space="preserve"> är i skogslandskapet främst knuten till naturskogsartad äldre barrskog. Den är där en värdefull ”gammelskogsindikator” och påträffas mest vid tallar som är över 200 år gamla (Nitare &amp; Skogsstyrelsen, 2019).</w:t>
      </w:r>
    </w:p>
    <w:p>
      <w:r>
        <w:rPr>
          <w:b/>
        </w:rPr>
        <w:t>Ryl (EN)</w:t>
      </w:r>
      <w:r>
        <w:t xml:space="preserve"> är en starkt hotad kärlväxt som påträffas i gamla ljusöppna barrskogar, främst tallskogar på väldränerade och kalkrika jordar med tunna humuslager. Lokaler för arten bör undantas från kalavverkning, markberedning och skogsgödsling. På lokaler med riklig förekomst av ryl kan den sällsynta bladparasiten </w:t>
      </w:r>
      <w:r>
        <w:rPr>
          <w:i/>
        </w:rPr>
        <w:t xml:space="preserve">Mycosphaerella chimaphilae </w:t>
      </w:r>
      <w:r>
        <w:t>(EN)</w:t>
      </w:r>
      <w:r>
        <w:rPr>
          <w:i/>
        </w:rPr>
        <w:t xml:space="preserve"> </w:t>
      </w:r>
      <w:r>
        <w:t>påträffas. Parasiten bildar små svarta prickar på rylens blad (SLU Artdatabanken, 2024; Nitare &amp; Skogsstyrelsen, 2019).</w:t>
      </w:r>
    </w:p>
    <w:p>
      <w:r>
        <w:rPr>
          <w:b/>
        </w:rPr>
        <w:t>Stubbspretmossa</w:t>
      </w:r>
      <w:r>
        <w:t xml:space="preserve"> växer på ved i rika löv- och barrskogar med relativt hög luftfuktighet och indikerar fuktiga skogsmiljöer med gott om murken ved och ofta höga naturvärden (SLU Artdatabanken, 2024).</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Fridlysta arter</w:t>
      </w:r>
    </w:p>
    <w:p>
      <w:r>
        <w:t>Följande fridlysta arter har sina livsmiljöer och växtplatser i den avverkningsanmälda skogen: svartvit flugsnappare (NT,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2025-11-11</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