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1793-2025 i Ekerö kommun</w:t>
      </w:r>
    </w:p>
    <w:p>
      <w:r>
        <w:t>Denna tillsynsbegäran behandlar höga naturvärden i avverkningsanmälan A 1793-2025 i Ekerö kommun som inkom 2025-01-14 och omfattar 1,7 ha.</w:t>
      </w:r>
    </w:p>
    <w:p>
      <w:pPr>
        <w:pStyle w:val="Caption"/>
      </w:pPr>
      <w:r>
        <w:drawing>
          <wp:inline xmlns:a="http://schemas.openxmlformats.org/drawingml/2006/main" xmlns:pic="http://schemas.openxmlformats.org/drawingml/2006/picture">
            <wp:extent cx="5486400" cy="5181897"/>
            <wp:docPr id="1" name="Picture 1"/>
            <wp:cNvGraphicFramePr>
              <a:graphicFrameLocks noChangeAspect="1"/>
            </wp:cNvGraphicFramePr>
            <a:graphic>
              <a:graphicData uri="http://schemas.openxmlformats.org/drawingml/2006/picture">
                <pic:pic>
                  <pic:nvPicPr>
                    <pic:cNvPr id="0" name="A 1793-2025 karta.png"/>
                    <pic:cNvPicPr/>
                  </pic:nvPicPr>
                  <pic:blipFill>
                    <a:blip r:embed="rId16"/>
                    <a:stretch>
                      <a:fillRect/>
                    </a:stretch>
                  </pic:blipFill>
                  <pic:spPr>
                    <a:xfrm>
                      <a:off x="0" y="0"/>
                      <a:ext cx="5486400" cy="5181897"/>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6590180, E 650041 i SWEREF 99 TM.</w:t>
      </w:r>
    </w:p>
    <w:p>
      <w:r>
        <w:t>I och inom 25 meter från avverkningsanmälan finns fynd av 1 naturvårdsarter, varav 1 är fridlyst: mistel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Mistel (§8)</w:t>
      </w:r>
      <w:r>
        <w:t xml:space="preserve"> är en trädlevande parasit som växer framförallt på lind och lönn, men även på andra träd som äppelträd, hagtorn och popplar. Lindbestånd med förekomst av mistlar är värdefulla eftersom den vedstruktur som mistelangreppen skapar är attraktiva yngelplatser för flera sällsynta skalbaggsarter som omfattas av ett åtgärdsprogram för hotade arter (ÅGP). Bland dessa kan nämnas lindgrengnagare (EN), lindskenknäppare (EN), ögonfläcksbock (EN) och lindfläckbock (VU). Träden bör vara över 150 år för att hysa arterna som dessutom är beroende av död lindved. Mistel är fridlyst enligt 8§ artskyddsförordningen (SLU Artdatabanken, 2026; Naturvårdsverket, 2024; Ehnström,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