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49131-2025 i Ekerö kommun</w:t>
      </w:r>
    </w:p>
    <w:p>
      <w:r>
        <w:t>Denna tillsynsbegäran behandlar höga naturvärden i avverkningsanmälan A 49131-2025 i Ekerö kommun som inkom 2025-10-07 och omfattar 0,9 ha.</w:t>
      </w:r>
    </w:p>
    <w:p>
      <w:pPr>
        <w:pStyle w:val="Caption"/>
      </w:pPr>
      <w:r>
        <w:drawing>
          <wp:inline xmlns:a="http://schemas.openxmlformats.org/drawingml/2006/main" xmlns:pic="http://schemas.openxmlformats.org/drawingml/2006/picture">
            <wp:extent cx="5486400" cy="4677827"/>
            <wp:docPr id="1" name="Picture 1"/>
            <wp:cNvGraphicFramePr>
              <a:graphicFrameLocks noChangeAspect="1"/>
            </wp:cNvGraphicFramePr>
            <a:graphic>
              <a:graphicData uri="http://schemas.openxmlformats.org/drawingml/2006/picture">
                <pic:pic>
                  <pic:nvPicPr>
                    <pic:cNvPr id="0" name="A 49131-2025 karta.png"/>
                    <pic:cNvPicPr/>
                  </pic:nvPicPr>
                  <pic:blipFill>
                    <a:blip r:embed="rId16"/>
                    <a:stretch>
                      <a:fillRect/>
                    </a:stretch>
                  </pic:blipFill>
                  <pic:spPr>
                    <a:xfrm>
                      <a:off x="0" y="0"/>
                      <a:ext cx="5486400" cy="4677827"/>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6581751, E 642045 i SWEREF 99 TM.</w:t>
      </w:r>
    </w:p>
    <w:p>
      <w:r>
        <w:t>I och inom 3 meter från avverkningsanmälan finns fynd av 3 naturvårdsarter, varav 3 är rödlistade och 1 är typisk (T): jättemusseron (VU), motaggsvamp (NT, T) och svartvit taggsvamp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Jättemusseron (VU)</w:t>
      </w:r>
      <w:r>
        <w:t xml:space="preserve"> bildar mykorrhiza med tall, i äldre lavtallskog och hällmarkstallskog. Den visar på såväl sandtallskogar som hällmarkstallskogar med långvarig tallkontinuitet och svampen är sannolikt en kvarleva (relikt) på sina samtliga växtplatser. Arten är placerad högst upp i Skogsstyrelsens värdepyramid för bedömning av skog med höga naturvärden och slutavverkning bör tills vidare undvikas i skogsbestånd där arten är känd. Jättemusseron är globalt rödlistad som sårbar (VU) och Sverige och Norge har sannolikt merparten av den europeiska populationen och därmed ett särskilt ansvar för dess bevarande (IUCN, 2025; SLU Artdatabanken, 2024;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