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40110-2025 i Huddinge kommun</w:t>
      </w:r>
    </w:p>
    <w:p>
      <w:r>
        <w:t>Detta dokument behandlar höga naturvärden i avverkningsanmälan A 40110-2025 i Huddinge kommun. Denna avverkningsanmälan inkom 2025-08-25 00:00:00 och omfattar 21,4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32 naturvårdsarter hittats: knärot (VU, §8), rosetticka (VU), rynkskinn (VU), brunpudrad nållav (NT), granticka (NT), motaggsvamp (NT), orange taggsvamp (NT), scharlakansvaxing (NT), spillkråka (NT, §4), tallticka (NT), talltita (NT, §4), ullticka (NT), vaddporing (NT), vedtrappmossa (NT), björksplintborre (S), brandticka (S), bronshjon (S), fjällig taggsvamp s.str. (S), flagellkvastmossa (S), granbarkgnagare (S), grön sköldmossa (S, §8), hasselticka (S), mindre märgborre (S), skarp dropptaggsvamp (S), stubbspretmossa (S), thomsons trägnagare (S), tjockfotad fingersvamp (S), trådticka (S), vedticka (S), vågbandad barkbock (S), zontaggsvamp (S) och vanlig groda (§6). Av dessa är 14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14284"/>
            <wp:docPr id="1" name="Picture 1"/>
            <wp:cNvGraphicFramePr>
              <a:graphicFrameLocks noChangeAspect="1"/>
            </wp:cNvGraphicFramePr>
            <a:graphic>
              <a:graphicData uri="http://schemas.openxmlformats.org/drawingml/2006/picture">
                <pic:pic>
                  <pic:nvPicPr>
                    <pic:cNvPr id="0" name="A 40110-2025 karta.png"/>
                    <pic:cNvPicPr/>
                  </pic:nvPicPr>
                  <pic:blipFill>
                    <a:blip r:embed="rId16"/>
                    <a:stretch>
                      <a:fillRect/>
                    </a:stretch>
                  </pic:blipFill>
                  <pic:spPr>
                    <a:xfrm>
                      <a:off x="0" y="0"/>
                      <a:ext cx="5486400" cy="46142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6565033, E 674818 i SWEREF 99 TM.</w:t>
      </w:r>
    </w:p>
    <w:p>
      <w:r>
        <w:rPr>
          <w:b/>
        </w:rPr>
        <w:t xml:space="preserve">Björksplintborre </w:t>
      </w:r>
      <w:r>
        <w:t>är en skalbagge vars larvutveckling sker i bark på nyligen döda björkar, både stående träd och vindfällen. En prydlig rad med runda ventilationshål i barken ovanför modergången är synnerligen karaktäristiskt. Arten är knuten till lövrika blandskogar med en hög andel gamla träd, och starkt gynnad av naturliga störningar som torka, översvämningar, brand och stormfällningar. Talrika gnagspår kan tyda på biotoper med höga naturvärden, exempelvis för ovanliga hackspettar och andra, mer sällsynta vedinsekter. Larverna är omtyckt hackspettsföda (SLU Artdatabanken, 2025).</w:t>
      </w:r>
    </w:p>
    <w:p>
      <w:r>
        <w:rPr>
          <w:b/>
        </w:rPr>
        <w:t xml:space="preserve">Brandticka </w:t>
      </w:r>
      <w:r>
        <w:t>förekommer främst i olikåldrig fuktig granskog med mycket död ved, ofta i kärrkanter eller vid bäckar på lokaler med hög luftfuktighet. Växer huvudsakligen på grova granlågor, någon enstaka gång på tall, asp eller björk, och verkar knuten till ved som först rötats av klibbticka. Arten var tidigare rödlistad men en sentida ökning, bland annat i barkborreangripna granplanteringar i sydligaste Skandinavien har förändrat hotbilden. Populationen i landet kan påverkas negativt av kalavverkning och ett skogsbruk som innebär att mängden grova granlågor minskar. Även dikning och gallring som leder till ett torrare mikroklimat på växtplatserna kan ha negativ inverkan. För att säkerställa en gynnsam bevarandestatus på sikt bör områdesskydd av artens livsmiljöer upprättas på ett sätt som tryggar livskraftiga populationer på landskapsnivå. Vid skogsbruk bör grov död ved och skyddszoner vid kärr och vattendrag lämnas, och träd tillåtas åldras och dö på ett sätt som skapar kontinuerlig tillgång på livsmiljöer (SLU Artdatabanken, 2025).</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Brunpudrad nållav är typisk art för </w:t>
      </w:r>
      <w:r>
        <w:rPr>
          <w:i/>
        </w:rPr>
        <w:t>9010 Taiga</w:t>
      </w:r>
      <w:r>
        <w:t xml:space="preserve"> (SLU Artdatabanken, 2024; Nitare &amp; Skogsstyrelsen, 2019).</w:t>
      </w:r>
    </w:p>
    <w:p>
      <w:r>
        <w:rPr>
          <w:b/>
        </w:rPr>
        <w:t>Fjällig taggsvamp s.str. (NT)</w:t>
      </w:r>
      <w:r>
        <w:t xml:space="preserve"> bildar mykorrhiza med gran i granskog och barrblandskog, främst på frisk näringsrik mark i äldre skog med lång trädkontinuitet. Den totala populationen i landet har minskat och bedöms fortsätta minska till följd av avverkning av äldre barrskogar. Minskningstakten för den svenska populationen bedöms vara nära gränsvärdet för sårbar (VU) (SLU Artdatabanken, 2026).</w:t>
      </w:r>
    </w:p>
    <w:p>
      <w:r>
        <w:rPr>
          <w:b/>
        </w:rPr>
        <w:t>Flagellkvastmossa</w:t>
      </w:r>
      <w:r>
        <w:t xml:space="preserve"> förekommer framför allt i tallsumpskog, men finns även i relativt torra gran- och tallskogar. Den signalerar överallt skogsmiljöer med höga naturvärden och indikerar biotoper med rik och kontinuerlig förekomst av död ved i olika nedbrytningsstadier eller barlagd torvjord. Flagellkvastmossa är typisk art för </w:t>
      </w:r>
      <w:r>
        <w:rPr>
          <w:i/>
        </w:rPr>
        <w:t xml:space="preserve">9010 Taiga </w:t>
      </w:r>
      <w:r>
        <w:t>och</w:t>
      </w:r>
      <w:r>
        <w:rPr>
          <w:i/>
        </w:rPr>
        <w:t xml:space="preserve"> 9740 Skogsbevuxen myr </w:t>
      </w:r>
      <w:r>
        <w:t>(SLU Artdatabanken, 2024; Nitare &amp; Skogsstyrelsen, 2019).</w:t>
      </w:r>
    </w:p>
    <w:p>
      <w:r>
        <w:rPr>
          <w:b/>
        </w:rPr>
        <w:t xml:space="preserve">Granbarkgnagare </w:t>
      </w:r>
      <w:r>
        <w:t xml:space="preserve">är en skalbagge vars larvutveckling sker i den tjocka ytterbarken på gamla och mycket grova levande granar. Man lägger lätt märke till angreppen på träden eftersom flera grova kläckhål ligger ganska tätt intill varandra på de grövre barkåsarna. Kläckhålen är runda och ca 1,5 mm breda. Granbarkgnagare är typisk art för </w:t>
      </w:r>
      <w:r>
        <w:rPr>
          <w:i/>
        </w:rPr>
        <w:t xml:space="preserve">9010 Taiga </w:t>
      </w:r>
      <w:r>
        <w:t>(Ehnström, 2002; SLU Artdatabanken, 2025).</w:t>
      </w:r>
    </w:p>
    <w:p>
      <w:r>
        <w:rPr>
          <w:b/>
        </w:rPr>
        <w:t>Granticka</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Det som tidigare inbegripit grantickan har visat sig röra sig om två arter; tajgagranticka </w:t>
      </w:r>
      <w:r>
        <w:rPr>
          <w:i/>
        </w:rPr>
        <w:t>Porodaedalea abietis</w:t>
      </w:r>
      <w:r>
        <w:t xml:space="preserve"> (LC) och </w:t>
      </w:r>
      <w:r>
        <w:rPr>
          <w:i/>
        </w:rPr>
        <w:t>Porodaedalea chrysoloma</w:t>
      </w:r>
      <w:r>
        <w:t xml:space="preserve"> (DD). Den nordligare arten, tajgagranticka, bildar större fruktkroppar och har sin främsta förekomst i norra Sverige, medan den mer tunnköttiga arten, </w:t>
      </w:r>
      <w:r>
        <w:rPr>
          <w:i/>
        </w:rPr>
        <w:t>P. chrysoloma</w:t>
      </w:r>
      <w:r>
        <w:t>, förekommer i sydöstra Sverige och på Gotland (SLU Artdatabanken, 2026; Nitare &amp; Skogsstyrelsen, 2019).</w:t>
      </w:r>
    </w:p>
    <w:p>
      <w:r>
        <w:rPr>
          <w:b/>
        </w:rPr>
        <w:t>Hasselticka</w:t>
      </w:r>
      <w:r>
        <w:t xml:space="preserve"> är en bra signalart för lundar med höga naturvärden. På lokalerna förekommer ofta många andra ovanliga och rödlistade arter. Växtplatserna har normalt långvarig lövkontinuitet av hassel (ibland al). Den kräver dessutom att det successivt bildas, och i området kontinuerligt förekommit, en viss mängd döda stammar. Arten tycks saknas i sekundära och i sen tid uppkomna al- och hasselmarker om dessa inte ligger i direkt anslutning till äldre förekomster. Hasselticka är typisk art för </w:t>
      </w:r>
      <w:r>
        <w:rPr>
          <w:i/>
        </w:rPr>
        <w:t xml:space="preserve">9020 Nordlig ädellövskog </w:t>
      </w:r>
      <w:r>
        <w:t xml:space="preserve">och </w:t>
      </w:r>
      <w:r>
        <w:rPr>
          <w:i/>
        </w:rPr>
        <w:t xml:space="preserve">9160 Näringsrik ekskog </w:t>
      </w:r>
      <w:r>
        <w:t>(Nitare &amp; Skogsstyrelsen, 2019; SLU Artdatabanken, 2025).</w:t>
      </w:r>
    </w:p>
    <w:p>
      <w:r>
        <w:rPr>
          <w:b/>
        </w:rPr>
        <w:t>Mindre märgborre</w:t>
      </w:r>
      <w:r>
        <w:t xml:space="preserve"> är en signalart för tallskog med höga naturvärden och betraktas tillsammans med skarptandad barkborre som nyckelarter för ett antal sällsynta åtgärdsprogramsarter som är beroende av deras gångsystem. Bland dessa kan nämnas avlång barkborre (VU), </w:t>
      </w:r>
      <w:r>
        <w:rPr>
          <w:i/>
        </w:rPr>
        <w:t>Corticeus longulus</w:t>
      </w:r>
      <w:r>
        <w:t xml:space="preserve"> (VU), tallgångbagge (VU), cholodkovskys bastborre (NT) och tallbarksvartbagge (NT). Den mindre märgborrens måsvingeliknande gnaggångar är lätta att känna igen och hittas ofta på grova tallgrenar på marken. 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(SLU Artdatabanken, 2026; Pettersson, 2014; Hedgren, 2012; Gunnarsson m fl., 1999).</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r>
        <w:rPr>
          <w:b/>
        </w:rPr>
        <w:t>Rosetticka (VU)</w:t>
      </w:r>
      <w:r>
        <w:t xml:space="preserve"> är en vedlevande svamp som orsakar brunröta. Den växer främst på barrträd men har även observerats på några olika slag av lövträd. Lågor, stubbar och rötter av gran är den vanligaste livsmiljön och ibland växer den upp från ved som ligger dold i marken. Arten förekommer framförallt på skuggiga och fuktiga lokaler med hög produktionsförmåga. Arten hotas genom att den hör hemma i en miljö som har stort värde för skogsproduktion och som det finns få skyddade områden av. Ett urval av de kända lokalerna måste kontrolleras och om arten återfinns måste området skyddas. För att möjliggöra att arten fortlever i landet måste fler bestånd med äldre, högproduktiv granskog undantas från skogsbruk. Detta gäller särskilt i södra Sverige där bara ett fåtal sådana områden hittills skyddats (SLU Artdatabanken, 2026).</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 xml:space="preserve">Scharlakansvaxing (NT) </w:t>
      </w:r>
      <w:r>
        <w:t>växer mest på magra, ogödslade naturbetes- och slåttermarker men kan sällsynt även påträffas i luckig skogsmark och på rikare mulljord i ädellövskog. Arten är globalt rödlistad som sårbar (VU) vilket innebär att Sverige har ett internationellt ansvar för arten (SLU Artdatabanken, 2024; IUCN, 2019).</w:t>
      </w:r>
    </w:p>
    <w:p>
      <w:r>
        <w:rPr>
          <w:b/>
        </w:rPr>
        <w:t xml:space="preserve">Skarp dropptaggsvamp (NT) </w:t>
      </w:r>
      <w:r>
        <w:t>bildar mykorrhiza med både gran och tall, främst i barrskogar med trädkontinuitet. Arten uppträder dels i näringsrik kalkbarrskog och dels i sur lavtallskog. Kalkbarrskogarna är ofta grandominerade, olikåldriga och skiktade på frisk mark med ett örtrikt vegetationsskikt. Lavtallskogarna är i regel magra, torra, ljusöppna och ofta brandpräglade. Den totala populationen i landet har minskat och bedöms fortsätta minska till följd av avverkning av äldre barrskogar. Arten har begränsad förmåga att återetablera sig efter slutavverkning eller andra storskaliga skogsbruksåtgärder. Det saknas indikationer på att arten långsiktigt kan etablera eller reproducera sig i skogsbestånd som brukas med metoder som trakthyggesbruk, markberedning, gödsling eller föryngring med förädlat plantmaterial. Minskningstakten för den svenska populationen bedöms vara nära gränsvärdet för Sårbar (VU) (SLU Artdatabanken, 2026).</w:t>
      </w:r>
    </w:p>
    <w:p>
      <w:r>
        <w:rPr>
          <w:b/>
        </w:rPr>
        <w:t>Stubbspretmossa</w:t>
      </w:r>
      <w:r>
        <w:t xml:space="preserve"> växer på ved i rika löv- och barrskogar med relativt hög luftfuktighet och indikerar fuktiga skogsmiljöer med gott om murken ved och ofta höga naturvärden. Stubbspretmossa är typisk art för </w:t>
      </w:r>
      <w:r>
        <w:rPr>
          <w:i/>
        </w:rPr>
        <w:t>9020 Nordlig ädellövskog</w:t>
      </w:r>
      <w:r>
        <w:t xml:space="preserve"> (SLU Artdatabanken, 2024).</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 xml:space="preserve">Tjockfotad fingersvamp (NT) </w:t>
      </w:r>
      <w:r>
        <w:t>bildar mykorrhiza med gran, eventuellt även med tall, i örtrika kalkbarrskogar, samt med bok och ek i ädellövskog på kalkrik mark. Den totala populationen i landet bedöms ha minskat under de senaste 50 åren och förväntas fortsätta minska, främst på grund av slutavverkning av äldre barrskog. Minskningstakten för den svenska populationen bedöms vara nära gränsvärdet för sårbar (VU). Slutavverkning, gödsling eller exploatering måste undvikas (SLU Artdatabanken, 2026).</w:t>
      </w:r>
    </w:p>
    <w:p>
      <w:r>
        <w:rPr>
          <w:b/>
        </w:rPr>
        <w:t xml:space="preserve">Trådticka </w:t>
      </w:r>
      <w:r>
        <w:t xml:space="preserve">är knuten till grova granar i rikare ofta fuktiga miljöer. Den återfinns på både levande och döda träd samt stubbar och nyligen fallna träd. Karaktärsart för äldre fuktiga granskogsbiotoper, och i stor mängd är den en bra signalart för miljöer med andra rödlistade arter. Trådticka är typisk art för </w:t>
      </w:r>
      <w:r>
        <w:rPr>
          <w:i/>
        </w:rPr>
        <w:t xml:space="preserve">9010 Taiga </w:t>
      </w:r>
      <w:r>
        <w:t xml:space="preserve">och </w:t>
      </w:r>
      <w:r>
        <w:rPr>
          <w:i/>
        </w:rPr>
        <w:t xml:space="preserve">9050 Näringsrik granskog </w:t>
      </w:r>
      <w:r>
        <w:t>(SLU Artdatabanken, 2025).</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Vaddporing (NT) </w:t>
      </w:r>
      <w:r>
        <w:t>är en brunrötande vednedbrytare som hittas på undersidan av liggande murken tallved i olika former. Substratet utgörs framför allt av den typ av hård, kådimpregnerad och ofta kolad tallved som skapas i brandpräglad skog. Vedtypen nybildas i mycket liten omfattning och det är sannolikt att arten upplever en utdöendeskuld. För att garantera artens fortlevnad bör man både säkra att artens växtplatser hålls intakta samt att långsiktigt säkerställa att ny ved tillkommer, allra helst i omedelbar anslutning till artens växtplatser. Skoglig gallring och annat uttag av virke innebär ett hot mot arten (SLU Artdatabanken, 2024).</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r>
        <w:rPr>
          <w:b/>
        </w:rPr>
        <w:t xml:space="preserve">Vågbandad barkbock </w:t>
      </w:r>
      <w:r>
        <w:t>är en långhorning vars larvutveckling sker under bark på nyligen döda stående barrträd, främst gran, mer undantagsvis på tall. Främst i stående träd, särskilt gamla, långsamvuxna granar med grov bark, även i grövre grenar, stubbar eller vindfällen. Arten är starkt knuten till naturskogsliknande granskogar, och gynnas av extrema torrsomrar som försvagar träden. Arten påverkas negativt av brist på kontinuitetsskog och en minskning av populationen pågår eller förväntas ske (SLU Artdatabanken, 2025).</w:t>
      </w:r>
    </w:p>
    <w:p>
      <w:pPr>
        <w:pStyle w:val="Heading1"/>
      </w:pPr>
      <w:r>
        <w:t>Fridlysta arter</w:t>
      </w:r>
    </w:p>
    <w:p>
      <w:r>
        <w:t>Följande fridlysta arter har sina livsmiljöer och växtplatser i den avverkningsanmälda skogen: knärot (VU, §8), spillkråka (NT, §4), talltita (NT, §4), grön sköldmossa (S, §8) och vanlig groda (§6).</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Grön sköldmossa (§8)</w:t>
      </w:r>
      <w:r>
        <w:t xml:space="preserve"> är typisk art för </w:t>
      </w:r>
      <w:r>
        <w:rPr>
          <w:i/>
        </w:rPr>
        <w:t xml:space="preserve">9010 Taiga </w:t>
      </w:r>
      <w:r>
        <w:t>och</w:t>
      </w:r>
      <w:r>
        <w:rPr>
          <w:i/>
        </w:rPr>
        <w:t xml:space="preserve"> 9750 Svämlövskog</w:t>
      </w:r>
      <w:r>
        <w:t xml:space="preserve"> och omfattas av EU:s art- och habitatdirektiv bilaga 2 vilket innebär att det finns ett uttalat intresse inom Europeiska unionen att bevara arten. Grön sköldmossa kräver skog som har ett speciellt mikroklimat med hög och jämn luftfuktighet i kombination med rik tillgång på död ved (Nitare &amp; Skogsstyrelsen, 2019; SLU Artdatabanken, 2025).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1.16 ha med buffertzonerna och får av detta skäl inte avverkas.</w:t>
      </w:r>
    </w:p>
    <w:p>
      <w:pPr>
        <w:pStyle w:val="Caption"/>
      </w:pPr>
      <w:r>
        <w:drawing>
          <wp:inline xmlns:a="http://schemas.openxmlformats.org/drawingml/2006/main" xmlns:pic="http://schemas.openxmlformats.org/drawingml/2006/picture">
            <wp:extent cx="5486400" cy="5718647"/>
            <wp:docPr id="2" name="Picture 2"/>
            <wp:cNvGraphicFramePr>
              <a:graphicFrameLocks noChangeAspect="1"/>
            </wp:cNvGraphicFramePr>
            <a:graphic>
              <a:graphicData uri="http://schemas.openxmlformats.org/drawingml/2006/picture">
                <pic:pic>
                  <pic:nvPicPr>
                    <pic:cNvPr id="0" name="A 40110-2025 karta knärot.png"/>
                    <pic:cNvPicPr/>
                  </pic:nvPicPr>
                  <pic:blipFill>
                    <a:blip r:embed="rId17"/>
                    <a:stretch>
                      <a:fillRect/>
                    </a:stretch>
                  </pic:blipFill>
                  <pic:spPr>
                    <a:xfrm>
                      <a:off x="0" y="0"/>
                      <a:ext cx="5486400" cy="571864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6565033, E 674818 i SWEREF 99 TM.</w:t>
      </w:r>
    </w:p>
    <w:p>
      <w:pPr>
        <w:pStyle w:val="Caption"/>
      </w:pP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31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32 naturvårdsarter varav 14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Grön sköldmossa – ekologi samt krav på livsmiljön</w:t>
      </w:r>
    </w:p>
    <w:p>
      <w:r>
        <w:t>Grön sköldmossa (§8) växer på stubbar och lågor av olika trädslag, huvudsakligen i sena nedbrytningsstadier. Den förekommer främst i näringsrika granskogar med stort inslag av löv, arten är kortlivad och antalet kapslar varierar kraftigt mellan olika år. Grön sköldmossa kräver skog som har ett speciellt mikroklimat med hög och jämn luftfuktighet i kombination med rik tillgång på död ved (SLU Artdatabanken, 2021; Nitare &amp; Skogsstyrelsen, 2019).</w:t>
      </w:r>
    </w:p>
    <w:p>
      <w:r>
        <w:t>Arten har sin huvudutbredning i sydöstra Sverige. Allvarligaste hoten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 I praktiken handlar det om åtminstone 50 meter med skyddande skog för att undvika uttorkning av marken (Hallingbäck, personligt meddelande 2022-02-24).</w:t>
      </w:r>
    </w:p>
    <w:p>
      <w:r>
        <w:t xml:space="preserve">Grön sköldmossa är typisk art för </w:t>
      </w:r>
      <w:r>
        <w:rPr>
          <w:i/>
        </w:rPr>
        <w:t xml:space="preserve">9010 Taiga </w:t>
      </w:r>
      <w:r>
        <w:t>och</w:t>
      </w:r>
      <w:r>
        <w:rPr>
          <w:i/>
        </w:rPr>
        <w:t xml:space="preserve"> 9750 Svämlövskog</w:t>
      </w:r>
      <w:r>
        <w:t>, fridlyst enligt 8§ artskyddsförordningen och upptagen i EU:s Habitatdirektiv bilaga 2 vilket innebär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Fridlysningen enligt §§ 8 och 15 Artskyddsförordningen innebär att det är förbjudet att på något sätt skada exemplar av arten, se artskyddsförordningen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2 till art- och habitatdirektivet.</w:t>
      </w:r>
    </w:p>
    <w:p>
      <w:r>
        <w:t>Mark- och miljööverdomstolen (MÖD) har i mål nr M 2019-20 (18 februari 2019) slagit fast att grön sköldmossa (§8) är dispenspliktig och att exemplar av arten inte får skadas utan dispens (MÖD, mål nr M 2019-20).</w:t>
      </w:r>
    </w:p>
    <w:p>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som nyckelarter, eftersom en rad sällsynta efterföljande arter är beroende av deras gångsystem. Bland dessa kan nämnas åtgärdsprogramsarterna avlång barkborre (VU), </w:t>
      </w:r>
      <w:r>
        <w:rPr>
          <w:i/>
        </w:rPr>
        <w:t>Corticeus longulus</w:t>
      </w:r>
      <w:r>
        <w:t xml:space="preserve"> (VU), tallgångbagge (VU), cholodkovskys bastborre (NT) och tallbarksvartbagge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2026).</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2026.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