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40110-2025 i Huddinge kommun</w:t>
      </w:r>
    </w:p>
    <w:p>
      <w:r>
        <w:t>Detta dokument behandlar höga naturvärden i avverkningsanmälan A 40110-2025 i Huddinge kommun. Denna avverkningsanmälan inkom 2025-08-25 00:00:00 och omfattar 21,4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knärot (VU, §8), rosetticka (VU), rynkskinn (VU), brunpudrad nållav (NT), granticka (NT), motaggsvamp (NT), orange taggsvamp (NT), scharlakansvaxing (NT), spillkråka (NT, §4), tallticka (NT), talltita (NT, §4), ullticka (NT), vaddporing (NT), vedtrappmossa (NT), björksplintborre (S), brandticka (S), bronshjon (S), fjällig taggsvamp s.str. (S), flagellkvastmossa (S), granbarkgnagare (S), grön sköldmossa (S, §8), hasselticka (S), mindre märgborre (S), skarp dropptaggsvamp (S), stubbspretmossa (S), thomsons trägnagare (S), tjockfotad fingersvamp (S), trådticka (S), vedticka (S), vågbandad barkbock (S), zontaggsvamp (S) och vanlig groda (§6).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4284"/>
            <wp:docPr id="1" name="Picture 1"/>
            <wp:cNvGraphicFramePr>
              <a:graphicFrameLocks noChangeAspect="1"/>
            </wp:cNvGraphicFramePr>
            <a:graphic>
              <a:graphicData uri="http://schemas.openxmlformats.org/drawingml/2006/picture">
                <pic:pic>
                  <pic:nvPicPr>
                    <pic:cNvPr id="0" name="A 40110-2025 karta.png"/>
                    <pic:cNvPicPr/>
                  </pic:nvPicPr>
                  <pic:blipFill>
                    <a:blip r:embed="rId16"/>
                    <a:stretch>
                      <a:fillRect/>
                    </a:stretch>
                  </pic:blipFill>
                  <pic:spPr>
                    <a:xfrm>
                      <a:off x="0" y="0"/>
                      <a:ext cx="5486400" cy="461428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6565033, E 674818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Hasselticka</w:t>
      </w:r>
      <w:r>
        <w:t xml:space="preserve"> är en bra signalart för lundar med höga naturvärden. På lokalerna förekommer ofta många andra ovanliga och rödlistade arter. Växtplatserna har normalt långvarig lövkontinuitet av hassel (ibland al). Den kräver dessutom att det successivt bildas, och i området kontinuerligt förekommit, en viss mängd döda stammar. Arten tycks saknas i sekundära och i sen tid uppkomna al- och hasselmarker om dessa inte ligger i direkt anslutning till äldre förekomster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Scharlakansvaxing (NT) </w:t>
      </w:r>
      <w:r>
        <w:t>växer mest på magra, ogödslade naturbetes- och slåttermarker men kan sällsynt även påträffas i luckig skogsmark och på rikare mulljord i ädellövskog. Arten är globalt rödlistad som sårbar (VU) vilket innebär att Sverige har ett internationellt ansvar för arten (SLU Artdatabanken, 2024; IUCN,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grön sköldmossa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1.16 ha med buffertzonerna och får av detta skäl inte avverkas.</w:t>
      </w:r>
    </w:p>
    <w:p>
      <w:pPr>
        <w:pStyle w:val="Caption"/>
      </w:pPr>
      <w:r>
        <w:drawing>
          <wp:inline xmlns:a="http://schemas.openxmlformats.org/drawingml/2006/main" xmlns:pic="http://schemas.openxmlformats.org/drawingml/2006/picture">
            <wp:extent cx="5486400" cy="5718647"/>
            <wp:docPr id="2" name="Picture 2"/>
            <wp:cNvGraphicFramePr>
              <a:graphicFrameLocks noChangeAspect="1"/>
            </wp:cNvGraphicFramePr>
            <a:graphic>
              <a:graphicData uri="http://schemas.openxmlformats.org/drawingml/2006/picture">
                <pic:pic>
                  <pic:nvPicPr>
                    <pic:cNvPr id="0" name="A 40110-2025 karta knärot.png"/>
                    <pic:cNvPicPr/>
                  </pic:nvPicPr>
                  <pic:blipFill>
                    <a:blip r:embed="rId17"/>
                    <a:stretch>
                      <a:fillRect/>
                    </a:stretch>
                  </pic:blipFill>
                  <pic:spPr>
                    <a:xfrm>
                      <a:off x="0" y="0"/>
                      <a:ext cx="5486400" cy="571864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6565033, E 674818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