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49419-2023 i Huddinge kommun</w:t>
      </w:r>
    </w:p>
    <w:p>
      <w:r>
        <w:t>Denna tillsynsbegäran behandlar höga naturvärden i avverkningsanmälan A 49419-2023 i Huddinge kommun som inkom 2023-10-12 och omfattar 1,9 ha.</w:t>
      </w:r>
    </w:p>
    <w:p>
      <w:pPr>
        <w:pStyle w:val="Caption"/>
      </w:pPr>
      <w:r>
        <w:drawing>
          <wp:inline xmlns:a="http://schemas.openxmlformats.org/drawingml/2006/main" xmlns:pic="http://schemas.openxmlformats.org/drawingml/2006/picture">
            <wp:extent cx="5486400" cy="5213023"/>
            <wp:docPr id="1" name="Picture 1"/>
            <wp:cNvGraphicFramePr>
              <a:graphicFrameLocks noChangeAspect="1"/>
            </wp:cNvGraphicFramePr>
            <a:graphic>
              <a:graphicData uri="http://schemas.openxmlformats.org/drawingml/2006/picture">
                <pic:pic>
                  <pic:nvPicPr>
                    <pic:cNvPr id="0" name="A 49419-2023 karta.png"/>
                    <pic:cNvPicPr/>
                  </pic:nvPicPr>
                  <pic:blipFill>
                    <a:blip r:embed="rId16"/>
                    <a:stretch>
                      <a:fillRect/>
                    </a:stretch>
                  </pic:blipFill>
                  <pic:spPr>
                    <a:xfrm>
                      <a:off x="0" y="0"/>
                      <a:ext cx="5486400" cy="521302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6563010, E 670557 i SWEREF 99 TM.</w:t>
      </w:r>
    </w:p>
    <w:p>
      <w:r>
        <w:t>I och inom 25 meter från avverkningsanmälan finns fynd av 6 naturvårdsarter, varav 2 är rödlistade och 6 är fridlysta: grönfink (VU, §4), ladusvala (NT, §4), fiskgjuse (§4), havsörn (§4), kråka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